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AFCB" w14:textId="77777777" w:rsidR="007D7CD8" w:rsidRDefault="007D7CD8" w:rsidP="00D312AA">
      <w:pPr>
        <w:spacing w:after="0" w:line="276" w:lineRule="auto"/>
        <w:rPr>
          <w:rFonts w:eastAsia="Calibri" w:cs="Times New Roman"/>
          <w:u w:val="single"/>
        </w:rPr>
      </w:pPr>
      <w:r>
        <w:rPr>
          <w:noProof/>
        </w:rPr>
        <w:drawing>
          <wp:inline distT="0" distB="0" distL="0" distR="0" wp14:anchorId="25BBACEA" wp14:editId="55D96FBF">
            <wp:extent cx="1152525" cy="575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662" cy="585954"/>
                    </a:xfrm>
                    <a:prstGeom prst="rect">
                      <a:avLst/>
                    </a:prstGeom>
                    <a:noFill/>
                    <a:ln>
                      <a:noFill/>
                    </a:ln>
                  </pic:spPr>
                </pic:pic>
              </a:graphicData>
            </a:graphic>
          </wp:inline>
        </w:drawing>
      </w:r>
    </w:p>
    <w:p w14:paraId="064D2E64" w14:textId="5A19622F" w:rsidR="00D312AA" w:rsidRPr="00CA7EE6" w:rsidRDefault="007D7CD8" w:rsidP="007D7CD8">
      <w:pPr>
        <w:spacing w:after="0" w:line="276" w:lineRule="auto"/>
        <w:jc w:val="center"/>
        <w:rPr>
          <w:rFonts w:eastAsia="Calibri" w:cs="Times New Roman"/>
        </w:rPr>
      </w:pPr>
      <w:r>
        <w:rPr>
          <w:rFonts w:eastAsia="Calibri" w:cs="Times New Roman"/>
          <w:b/>
          <w:bCs/>
          <w:color w:val="000000" w:themeColor="text1"/>
          <w:sz w:val="24"/>
          <w:szCs w:val="24"/>
          <w:u w:val="single"/>
        </w:rPr>
        <w:t xml:space="preserve">Equine </w:t>
      </w:r>
      <w:r w:rsidR="00E42ED0">
        <w:rPr>
          <w:rFonts w:eastAsia="Calibri" w:cs="Times New Roman"/>
          <w:b/>
          <w:bCs/>
          <w:color w:val="000000" w:themeColor="text1"/>
          <w:sz w:val="24"/>
          <w:szCs w:val="24"/>
          <w:u w:val="single"/>
        </w:rPr>
        <w:t xml:space="preserve">Dewormer </w:t>
      </w:r>
      <w:r w:rsidRPr="007C48CA">
        <w:rPr>
          <w:rFonts w:eastAsia="Calibri" w:cs="Times New Roman"/>
          <w:b/>
          <w:bCs/>
          <w:color w:val="000000" w:themeColor="text1"/>
          <w:sz w:val="24"/>
          <w:szCs w:val="24"/>
          <w:u w:val="single"/>
        </w:rPr>
        <w:t>Product Descriptions &amp; Bullets for Retailer Website Product Pages</w:t>
      </w:r>
    </w:p>
    <w:p w14:paraId="5294E10C" w14:textId="16483504" w:rsidR="00D312AA" w:rsidRPr="00CA7EE6" w:rsidRDefault="00D312AA" w:rsidP="00D312AA">
      <w:pPr>
        <w:spacing w:after="0"/>
        <w:jc w:val="center"/>
        <w:rPr>
          <w:rFonts w:eastAsia="Calibri" w:cs="Times New Roman"/>
        </w:rPr>
      </w:pPr>
    </w:p>
    <w:p w14:paraId="2B539A5F" w14:textId="77777777" w:rsidR="00B17202" w:rsidRPr="002A54D3" w:rsidRDefault="00B17202">
      <w:pPr>
        <w:spacing w:after="0"/>
        <w:rPr>
          <w:rFonts w:cstheme="minorHAnsi"/>
          <w:sz w:val="28"/>
          <w:szCs w:val="28"/>
        </w:rPr>
      </w:pPr>
    </w:p>
    <w:tbl>
      <w:tblPr>
        <w:tblStyle w:val="TableGrid"/>
        <w:tblW w:w="10350" w:type="dxa"/>
        <w:tblInd w:w="265" w:type="dxa"/>
        <w:tblLook w:val="04A0" w:firstRow="1" w:lastRow="0" w:firstColumn="1" w:lastColumn="0" w:noHBand="0" w:noVBand="1"/>
      </w:tblPr>
      <w:tblGrid>
        <w:gridCol w:w="10350"/>
      </w:tblGrid>
      <w:tr w:rsidR="00E85080" w:rsidRPr="002A54D3" w14:paraId="384DF177" w14:textId="77777777" w:rsidTr="00E85080">
        <w:tc>
          <w:tcPr>
            <w:tcW w:w="10350" w:type="dxa"/>
          </w:tcPr>
          <w:p w14:paraId="3E4D58A1" w14:textId="42FCC148" w:rsidR="00E85080" w:rsidRPr="002A54D3" w:rsidRDefault="00E85080" w:rsidP="009F0711">
            <w:pPr>
              <w:rPr>
                <w:rFonts w:cstheme="minorHAnsi"/>
                <w:b/>
                <w:sz w:val="28"/>
                <w:szCs w:val="28"/>
              </w:rPr>
            </w:pPr>
            <w:r w:rsidRPr="002A54D3">
              <w:rPr>
                <w:rFonts w:cstheme="minorHAnsi"/>
                <w:b/>
                <w:sz w:val="28"/>
                <w:szCs w:val="28"/>
              </w:rPr>
              <w:t>Equine Dewormers</w:t>
            </w:r>
          </w:p>
        </w:tc>
      </w:tr>
      <w:tr w:rsidR="00E85080" w:rsidRPr="002A54D3" w14:paraId="0EA487C4" w14:textId="77777777" w:rsidTr="00E85080">
        <w:tc>
          <w:tcPr>
            <w:tcW w:w="10350" w:type="dxa"/>
          </w:tcPr>
          <w:p w14:paraId="73B2347D" w14:textId="77777777" w:rsidR="00E85080" w:rsidRPr="002A54D3" w:rsidRDefault="00E85080" w:rsidP="009F0711">
            <w:pPr>
              <w:pStyle w:val="ListParagraph"/>
              <w:ind w:left="0"/>
              <w:rPr>
                <w:rFonts w:cstheme="minorHAnsi"/>
                <w:b/>
              </w:rPr>
            </w:pPr>
          </w:p>
          <w:p w14:paraId="16949B45" w14:textId="77777777" w:rsidR="00E85080" w:rsidRPr="002A54D3" w:rsidRDefault="00E85080" w:rsidP="009F0711">
            <w:pPr>
              <w:pStyle w:val="ListParagraph"/>
              <w:ind w:left="0"/>
              <w:rPr>
                <w:rFonts w:cstheme="minorHAnsi"/>
                <w:b/>
              </w:rPr>
            </w:pPr>
            <w:r w:rsidRPr="002A54D3">
              <w:rPr>
                <w:rFonts w:cstheme="minorHAnsi"/>
                <w:b/>
              </w:rPr>
              <w:t>PANACUR® (fenbendazole) 25 gm Paste 10%</w:t>
            </w:r>
          </w:p>
          <w:p w14:paraId="5E156348" w14:textId="77777777" w:rsidR="00E85080" w:rsidRPr="002A54D3" w:rsidRDefault="00E85080" w:rsidP="009F0711">
            <w:pPr>
              <w:pStyle w:val="ListParagraph"/>
              <w:ind w:left="0"/>
              <w:rPr>
                <w:rFonts w:cstheme="minorHAnsi"/>
                <w:i/>
              </w:rPr>
            </w:pPr>
          </w:p>
          <w:p w14:paraId="758EAA5A" w14:textId="77777777" w:rsidR="00E85080" w:rsidRPr="002A54D3" w:rsidRDefault="00E85080" w:rsidP="009F0711">
            <w:pPr>
              <w:pStyle w:val="ListParagraph"/>
              <w:ind w:left="0"/>
              <w:rPr>
                <w:rFonts w:cstheme="minorHAnsi"/>
                <w:i/>
              </w:rPr>
            </w:pPr>
            <w:r w:rsidRPr="002A54D3">
              <w:rPr>
                <w:rFonts w:cstheme="minorHAnsi"/>
                <w:i/>
              </w:rPr>
              <w:t xml:space="preserve">Product description  </w:t>
            </w:r>
          </w:p>
          <w:p w14:paraId="7D2A3FCB" w14:textId="784913BD" w:rsidR="00E85080" w:rsidRPr="002A54D3" w:rsidRDefault="00E85080" w:rsidP="00497724">
            <w:pPr>
              <w:autoSpaceDE w:val="0"/>
              <w:autoSpaceDN w:val="0"/>
              <w:adjustRightInd w:val="0"/>
              <w:rPr>
                <w:rFonts w:cstheme="minorHAnsi"/>
              </w:rPr>
            </w:pPr>
            <w:r w:rsidRPr="002A54D3">
              <w:rPr>
                <w:rFonts w:cstheme="minorHAnsi"/>
              </w:rPr>
              <w:t xml:space="preserve">PANACUR® (fenbendazole) </w:t>
            </w:r>
            <w:r w:rsidR="00497724" w:rsidRPr="002A54D3">
              <w:rPr>
                <w:rFonts w:cstheme="minorHAnsi"/>
              </w:rPr>
              <w:t>Paste 10% is indicated for the treatment and control of large strongyles (</w:t>
            </w:r>
            <w:r w:rsidR="00497724" w:rsidRPr="002A54D3">
              <w:rPr>
                <w:rFonts w:cstheme="minorHAnsi"/>
                <w:i/>
                <w:iCs/>
              </w:rPr>
              <w:t>Strongylus edentatus, S. equinus, S. vulgaris</w:t>
            </w:r>
            <w:r w:rsidR="00497724" w:rsidRPr="002A54D3">
              <w:rPr>
                <w:rFonts w:cstheme="minorHAnsi"/>
              </w:rPr>
              <w:t>), encysted early 3rd stage (hy</w:t>
            </w:r>
            <w:r w:rsidR="001B74A8">
              <w:rPr>
                <w:rFonts w:cstheme="minorHAnsi"/>
              </w:rPr>
              <w:t>p</w:t>
            </w:r>
            <w:r w:rsidR="00497724" w:rsidRPr="002A54D3">
              <w:rPr>
                <w:rFonts w:cstheme="minorHAnsi"/>
              </w:rPr>
              <w:t>obiotic), late 3rd stage and 4th stage cyathostome larvae, small strongyles, pinworms (</w:t>
            </w:r>
            <w:r w:rsidR="00497724" w:rsidRPr="002A54D3">
              <w:rPr>
                <w:rFonts w:cstheme="minorHAnsi"/>
                <w:i/>
                <w:iCs/>
              </w:rPr>
              <w:t>Oxyuris equi</w:t>
            </w:r>
            <w:r w:rsidR="00497724" w:rsidRPr="002A54D3">
              <w:rPr>
                <w:rFonts w:cstheme="minorHAnsi"/>
              </w:rPr>
              <w:t>), ascarids (</w:t>
            </w:r>
            <w:r w:rsidR="00497724" w:rsidRPr="002A54D3">
              <w:rPr>
                <w:rFonts w:cstheme="minorHAnsi"/>
                <w:i/>
                <w:iCs/>
              </w:rPr>
              <w:t>Parascaris equorum</w:t>
            </w:r>
            <w:r w:rsidR="00497724" w:rsidRPr="002A54D3">
              <w:rPr>
                <w:rFonts w:cstheme="minorHAnsi"/>
              </w:rPr>
              <w:t xml:space="preserve">), and for the control of arteritis caused by 4th stage larvae of </w:t>
            </w:r>
            <w:r w:rsidR="00497724" w:rsidRPr="002A54D3">
              <w:rPr>
                <w:rFonts w:cstheme="minorHAnsi"/>
                <w:i/>
                <w:iCs/>
              </w:rPr>
              <w:t xml:space="preserve">Strongylus vulgaris </w:t>
            </w:r>
            <w:r w:rsidR="00497724" w:rsidRPr="002A54D3">
              <w:rPr>
                <w:rFonts w:cstheme="minorHAnsi"/>
              </w:rPr>
              <w:t>in horses.</w:t>
            </w:r>
          </w:p>
          <w:p w14:paraId="58DE4DC0" w14:textId="77777777" w:rsidR="00E85080" w:rsidRPr="002A54D3" w:rsidRDefault="00E85080" w:rsidP="009F0711">
            <w:pPr>
              <w:pStyle w:val="ListParagraph"/>
              <w:rPr>
                <w:rFonts w:cstheme="minorHAnsi"/>
              </w:rPr>
            </w:pPr>
          </w:p>
          <w:p w14:paraId="63599417" w14:textId="77777777" w:rsidR="00E85080" w:rsidRPr="002A54D3" w:rsidRDefault="00E85080" w:rsidP="009F0711">
            <w:pPr>
              <w:rPr>
                <w:rFonts w:cstheme="minorHAnsi"/>
                <w:i/>
              </w:rPr>
            </w:pPr>
            <w:r w:rsidRPr="002A54D3">
              <w:rPr>
                <w:rFonts w:cstheme="minorHAnsi"/>
                <w:i/>
              </w:rPr>
              <w:t>Product benefits (bullets for Retailer website)</w:t>
            </w:r>
          </w:p>
          <w:p w14:paraId="6FFD04FD" w14:textId="4521D9FB" w:rsidR="00E85080" w:rsidRDefault="00847A67" w:rsidP="00CD1AAE">
            <w:pPr>
              <w:pStyle w:val="ListParagraph"/>
              <w:numPr>
                <w:ilvl w:val="0"/>
                <w:numId w:val="3"/>
              </w:numPr>
              <w:rPr>
                <w:rFonts w:cstheme="minorHAnsi"/>
              </w:rPr>
            </w:pPr>
            <w:r>
              <w:rPr>
                <w:rFonts w:cstheme="minorHAnsi"/>
              </w:rPr>
              <w:t>A</w:t>
            </w:r>
            <w:r w:rsidR="00E85080" w:rsidRPr="002A54D3">
              <w:rPr>
                <w:rFonts w:cstheme="minorHAnsi"/>
              </w:rPr>
              <w:t xml:space="preserve">pple-cinnamon flavor </w:t>
            </w:r>
          </w:p>
          <w:p w14:paraId="3EB44428" w14:textId="2909A043" w:rsidR="00847A67" w:rsidRPr="002A54D3" w:rsidRDefault="00847A67" w:rsidP="00CD1AAE">
            <w:pPr>
              <w:pStyle w:val="ListParagraph"/>
              <w:numPr>
                <w:ilvl w:val="0"/>
                <w:numId w:val="3"/>
              </w:numPr>
              <w:rPr>
                <w:rFonts w:cstheme="minorHAnsi"/>
              </w:rPr>
            </w:pPr>
            <w:r>
              <w:rPr>
                <w:rFonts w:cstheme="minorHAnsi"/>
              </w:rPr>
              <w:t>Treats and controls ascarids in foals and weanlings at a dose of 4.6 mg/</w:t>
            </w:r>
            <w:proofErr w:type="spellStart"/>
            <w:r>
              <w:rPr>
                <w:rFonts w:cstheme="minorHAnsi"/>
              </w:rPr>
              <w:t>lb</w:t>
            </w:r>
            <w:proofErr w:type="spellEnd"/>
          </w:p>
          <w:p w14:paraId="08B540C2" w14:textId="08FAA504" w:rsidR="00847A67" w:rsidRDefault="00847A67" w:rsidP="00CD1AAE">
            <w:pPr>
              <w:pStyle w:val="ListParagraph"/>
              <w:numPr>
                <w:ilvl w:val="0"/>
                <w:numId w:val="3"/>
              </w:numPr>
              <w:rPr>
                <w:rFonts w:cstheme="minorHAnsi"/>
              </w:rPr>
            </w:pPr>
            <w:r>
              <w:rPr>
                <w:rFonts w:cstheme="minorHAnsi"/>
              </w:rPr>
              <w:t xml:space="preserve">Treats and controls encysted small red worms; pinworms; and larval </w:t>
            </w:r>
            <w:r>
              <w:rPr>
                <w:rFonts w:cstheme="minorHAnsi"/>
                <w:i/>
                <w:iCs/>
              </w:rPr>
              <w:t>S</w:t>
            </w:r>
            <w:r w:rsidRPr="00847A67">
              <w:rPr>
                <w:rFonts w:cstheme="minorHAnsi"/>
                <w:i/>
                <w:iCs/>
              </w:rPr>
              <w:t>trongylus vulgaris</w:t>
            </w:r>
            <w:r>
              <w:rPr>
                <w:rFonts w:cstheme="minorHAnsi"/>
              </w:rPr>
              <w:t>, a cause of arteritis</w:t>
            </w:r>
          </w:p>
          <w:p w14:paraId="12994307" w14:textId="54BDB9BC" w:rsidR="00847A67" w:rsidRPr="00847A67" w:rsidRDefault="00847A67" w:rsidP="00CD1AAE">
            <w:pPr>
              <w:pStyle w:val="ListParagraph"/>
              <w:numPr>
                <w:ilvl w:val="0"/>
                <w:numId w:val="3"/>
              </w:numPr>
              <w:rPr>
                <w:rFonts w:cstheme="minorHAnsi"/>
                <w:color w:val="000000" w:themeColor="text1"/>
              </w:rPr>
            </w:pPr>
            <w:r w:rsidRPr="00847A67">
              <w:rPr>
                <w:rStyle w:val="Strong"/>
                <w:rFonts w:eastAsia="Times New Roman"/>
                <w:b w:val="0"/>
                <w:bCs w:val="0"/>
                <w:color w:val="000000" w:themeColor="text1"/>
              </w:rPr>
              <w:t>Unique Mode of Action</w:t>
            </w:r>
            <w:r w:rsidRPr="00847A67">
              <w:rPr>
                <w:rFonts w:eastAsia="Times New Roman"/>
                <w:color w:val="000000" w:themeColor="text1"/>
              </w:rPr>
              <w:t> – the antiparasitic action of PANACUR (fenbendazole) Paste 10% is due to the inhibition of energy metabolism in the parasite</w:t>
            </w:r>
            <w:r w:rsidRPr="00847A67">
              <w:rPr>
                <w:rFonts w:eastAsia="Times New Roman"/>
                <w:color w:val="000000" w:themeColor="text1"/>
                <w:vertAlign w:val="superscript"/>
              </w:rPr>
              <w:t>1</w:t>
            </w:r>
          </w:p>
          <w:p w14:paraId="5B9FF2EB" w14:textId="1AA396DC" w:rsidR="00847A67" w:rsidRPr="00847A67" w:rsidRDefault="00847A67" w:rsidP="00847A67">
            <w:pPr>
              <w:rPr>
                <w:rFonts w:cstheme="minorHAnsi"/>
                <w:sz w:val="18"/>
                <w:szCs w:val="18"/>
              </w:rPr>
            </w:pPr>
            <w:r w:rsidRPr="00847A67">
              <w:rPr>
                <w:rFonts w:cstheme="minorHAnsi"/>
                <w:color w:val="000000" w:themeColor="text1"/>
                <w:sz w:val="18"/>
                <w:szCs w:val="18"/>
                <w:vertAlign w:val="superscript"/>
              </w:rPr>
              <w:t>1</w:t>
            </w:r>
            <w:r w:rsidRPr="00847A67">
              <w:rPr>
                <w:rFonts w:cstheme="minorHAnsi"/>
                <w:color w:val="000000" w:themeColor="text1"/>
                <w:sz w:val="18"/>
                <w:szCs w:val="18"/>
              </w:rPr>
              <w:t xml:space="preserve"> </w:t>
            </w:r>
            <w:r w:rsidRPr="00847A67">
              <w:rPr>
                <w:rFonts w:eastAsia="Times New Roman"/>
                <w:color w:val="000000" w:themeColor="text1"/>
                <w:sz w:val="18"/>
                <w:szCs w:val="18"/>
                <w:shd w:val="clear" w:color="auto" w:fill="FFFFFF"/>
              </w:rPr>
              <w:t>Lacey E. Mode of Action of Benzimidazoles. Parasitology Today, vol. 6, no. 4, 1990</w:t>
            </w:r>
            <w:r w:rsidRPr="00847A67">
              <w:rPr>
                <w:rFonts w:eastAsia="Times New Roman"/>
                <w:color w:val="37424A"/>
                <w:sz w:val="18"/>
                <w:szCs w:val="18"/>
                <w:shd w:val="clear" w:color="auto" w:fill="FFFFFF"/>
              </w:rPr>
              <w:t>.</w:t>
            </w:r>
          </w:p>
          <w:p w14:paraId="6E4DAC9D" w14:textId="6919E939" w:rsidR="00835A5E" w:rsidRPr="002A54D3" w:rsidRDefault="00835A5E" w:rsidP="00835A5E">
            <w:pPr>
              <w:rPr>
                <w:rFonts w:cstheme="minorHAnsi"/>
              </w:rPr>
            </w:pPr>
          </w:p>
          <w:p w14:paraId="22153070" w14:textId="21EFEE6A" w:rsidR="00835A5E" w:rsidRPr="002A54D3" w:rsidRDefault="00835A5E" w:rsidP="00835A5E">
            <w:pPr>
              <w:rPr>
                <w:rFonts w:cstheme="minorHAnsi"/>
              </w:rPr>
            </w:pPr>
            <w:r w:rsidRPr="002A54D3">
              <w:rPr>
                <w:rFonts w:cstheme="minorHAnsi"/>
              </w:rPr>
              <w:t>Dosing Information:</w:t>
            </w:r>
          </w:p>
          <w:p w14:paraId="75F18396" w14:textId="26872F86" w:rsidR="00835A5E" w:rsidRPr="002A54D3" w:rsidRDefault="00835A5E" w:rsidP="00CD1AAE">
            <w:pPr>
              <w:pStyle w:val="ListParagraph"/>
              <w:numPr>
                <w:ilvl w:val="0"/>
                <w:numId w:val="3"/>
              </w:numPr>
              <w:autoSpaceDE w:val="0"/>
              <w:autoSpaceDN w:val="0"/>
              <w:adjustRightInd w:val="0"/>
              <w:rPr>
                <w:rFonts w:cstheme="minorHAnsi"/>
              </w:rPr>
            </w:pPr>
            <w:r w:rsidRPr="002A54D3">
              <w:rPr>
                <w:rFonts w:cstheme="minorHAnsi"/>
                <w:color w:val="000000"/>
                <w:shd w:val="clear" w:color="auto" w:fill="FFFFFF"/>
              </w:rPr>
              <w:t>For the control of large strongyles, small strongyles, and pinworms, the recommended dose is 2.3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(5 mg/kg).</w:t>
            </w:r>
          </w:p>
          <w:p w14:paraId="66361B44" w14:textId="76A9EF59" w:rsidR="00835A5E" w:rsidRPr="002A54D3" w:rsidRDefault="00835A5E" w:rsidP="00CD1AAE">
            <w:pPr>
              <w:pStyle w:val="ListParagraph"/>
              <w:numPr>
                <w:ilvl w:val="0"/>
                <w:numId w:val="3"/>
              </w:numPr>
              <w:autoSpaceDE w:val="0"/>
              <w:autoSpaceDN w:val="0"/>
              <w:adjustRightInd w:val="0"/>
              <w:rPr>
                <w:rFonts w:cstheme="minorHAnsi"/>
              </w:rPr>
            </w:pPr>
            <w:r w:rsidRPr="002A54D3">
              <w:rPr>
                <w:rFonts w:cstheme="minorHAnsi"/>
              </w:rPr>
              <w:t xml:space="preserve">For foals &amp; weanlings less than 18 months of age where ascarids are a common problem: </w:t>
            </w:r>
            <w:r w:rsidRPr="002A54D3">
              <w:rPr>
                <w:rFonts w:cstheme="minorHAnsi"/>
                <w:color w:val="000000"/>
                <w:shd w:val="clear" w:color="auto" w:fill="FFFFFF"/>
              </w:rPr>
              <w:t>the recommended dose is 4.6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(10 mg/kg); one syringe will deworm a 550 </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horse.</w:t>
            </w:r>
          </w:p>
          <w:p w14:paraId="1320EAFB" w14:textId="4FBAAE7B" w:rsidR="00E85080" w:rsidRPr="002A54D3" w:rsidRDefault="00835A5E" w:rsidP="00CD1AAE">
            <w:pPr>
              <w:pStyle w:val="ListParagraph"/>
              <w:numPr>
                <w:ilvl w:val="0"/>
                <w:numId w:val="3"/>
              </w:numPr>
              <w:rPr>
                <w:rFonts w:cstheme="minorHAnsi"/>
              </w:rPr>
            </w:pPr>
            <w:r w:rsidRPr="002A54D3">
              <w:rPr>
                <w:rFonts w:cstheme="minorHAnsi"/>
                <w:color w:val="000000"/>
                <w:shd w:val="clear" w:color="auto" w:fill="FFFFFF"/>
              </w:rPr>
              <w:t>For control of hypobiotic (encysted early 3rd stage), late 3rd stage, and 4th stage cyathostome larvae, 4th stage </w:t>
            </w:r>
            <w:r w:rsidRPr="002A54D3">
              <w:rPr>
                <w:rStyle w:val="Emphasis"/>
                <w:rFonts w:cstheme="minorHAnsi"/>
                <w:color w:val="000000"/>
                <w:shd w:val="clear" w:color="auto" w:fill="FFFFFF"/>
              </w:rPr>
              <w:t>Strongylus vulgaris</w:t>
            </w:r>
            <w:r w:rsidRPr="002A54D3">
              <w:rPr>
                <w:rFonts w:cstheme="minorHAnsi"/>
                <w:color w:val="000000"/>
                <w:shd w:val="clear" w:color="auto" w:fill="FFFFFF"/>
              </w:rPr>
              <w:t> larvae, the recommended dose is 4.6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(10 mg/kg) daily for 5 consecutive days; administer one syringe for each 550 </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body weight per day.</w:t>
            </w:r>
          </w:p>
          <w:p w14:paraId="48FDC67B" w14:textId="751FB9B0" w:rsidR="00E85080" w:rsidRPr="002A54D3" w:rsidRDefault="00E85080" w:rsidP="00CD1AAE">
            <w:pPr>
              <w:pStyle w:val="ListParagraph"/>
              <w:numPr>
                <w:ilvl w:val="0"/>
                <w:numId w:val="3"/>
              </w:numPr>
              <w:rPr>
                <w:rFonts w:cstheme="minorHAnsi"/>
              </w:rPr>
            </w:pPr>
            <w:r w:rsidRPr="002A54D3">
              <w:rPr>
                <w:rFonts w:cstheme="minorHAnsi"/>
              </w:rPr>
              <w:t>Do not underdose. Ensure each horse receives a complete dose based on a current body weight. Underdosing may result in ineffective treatment and encourage the development of parasite resistance. Refer to the carton for dosage and full directions for use.</w:t>
            </w:r>
          </w:p>
          <w:p w14:paraId="215C09F4" w14:textId="77777777" w:rsidR="00E85080" w:rsidRPr="002A54D3" w:rsidRDefault="00E85080" w:rsidP="009F0711">
            <w:pPr>
              <w:ind w:left="-720"/>
              <w:rPr>
                <w:rFonts w:cstheme="minorHAnsi"/>
                <w:i/>
                <w:sz w:val="20"/>
                <w:szCs w:val="20"/>
              </w:rPr>
            </w:pPr>
            <w:r w:rsidRPr="002A54D3">
              <w:rPr>
                <w:rFonts w:cstheme="minorHAnsi"/>
                <w:i/>
                <w:sz w:val="20"/>
                <w:szCs w:val="20"/>
              </w:rPr>
              <w:t>Paste</w:t>
            </w:r>
          </w:p>
          <w:p w14:paraId="0B3A6735" w14:textId="77777777" w:rsidR="005D3721" w:rsidRPr="002A54D3" w:rsidRDefault="00E85080" w:rsidP="005D3721">
            <w:pPr>
              <w:pStyle w:val="ListParagraph"/>
              <w:ind w:left="0"/>
              <w:rPr>
                <w:rFonts w:cstheme="minorHAnsi"/>
              </w:rPr>
            </w:pPr>
            <w:r w:rsidRPr="00C56526">
              <w:rPr>
                <w:rFonts w:cstheme="minorHAnsi"/>
                <w:b/>
                <w:bCs/>
              </w:rPr>
              <w:t>IMPORTANT SAFETY INFORMATION:</w:t>
            </w:r>
            <w:r w:rsidRPr="002A54D3">
              <w:rPr>
                <w:rFonts w:cstheme="minorHAnsi"/>
              </w:rPr>
              <w:t xml:space="preserve"> </w:t>
            </w:r>
            <w:r w:rsidR="005D3721" w:rsidRPr="002A54D3">
              <w:rPr>
                <w:rFonts w:cstheme="minorHAnsi"/>
              </w:rPr>
              <w:t xml:space="preserve">Not for use in humans. Keep out of reach of children. Consult your veterinarian for assistance in the diagnosis, treatment and control of parasitism. Do not use in horses intended for human consumption. </w:t>
            </w:r>
          </w:p>
          <w:p w14:paraId="27CEABDF" w14:textId="77777777" w:rsidR="00E85080" w:rsidRPr="002A54D3" w:rsidRDefault="00E85080" w:rsidP="009F0711">
            <w:pPr>
              <w:pStyle w:val="ListParagraph"/>
              <w:ind w:left="0"/>
              <w:rPr>
                <w:rFonts w:cstheme="minorHAnsi"/>
                <w:i/>
                <w:sz w:val="20"/>
                <w:szCs w:val="20"/>
              </w:rPr>
            </w:pPr>
          </w:p>
          <w:p w14:paraId="3EA4613B" w14:textId="77777777" w:rsidR="00E85080" w:rsidRPr="002A54D3" w:rsidRDefault="00E85080" w:rsidP="009F0711">
            <w:pPr>
              <w:pStyle w:val="ListParagraph"/>
              <w:ind w:left="0"/>
              <w:rPr>
                <w:rFonts w:cstheme="minorHAnsi"/>
                <w:i/>
              </w:rPr>
            </w:pPr>
            <w:r w:rsidRPr="002A54D3">
              <w:rPr>
                <w:rFonts w:cstheme="minorHAnsi"/>
                <w:i/>
              </w:rPr>
              <w:t>Key words</w:t>
            </w:r>
          </w:p>
          <w:p w14:paraId="4332D865" w14:textId="76A6F0E5" w:rsidR="00E85080" w:rsidRPr="002A54D3" w:rsidRDefault="00E85080" w:rsidP="009F0711">
            <w:pPr>
              <w:pStyle w:val="ListParagraph"/>
              <w:ind w:left="0"/>
              <w:rPr>
                <w:rFonts w:cstheme="minorHAnsi"/>
              </w:rPr>
            </w:pPr>
            <w:r w:rsidRPr="002A54D3">
              <w:rPr>
                <w:rFonts w:cstheme="minorHAnsi"/>
              </w:rPr>
              <w:t>PANACUR®, PANACUR, Strongyles, pinworms, roundworms, Panacur® Paste 10%, fenbendazole, Panacur</w:t>
            </w:r>
          </w:p>
          <w:p w14:paraId="10A46ADE" w14:textId="77777777" w:rsidR="00E85080" w:rsidRPr="002A54D3" w:rsidRDefault="00E85080" w:rsidP="00336A34">
            <w:pPr>
              <w:pStyle w:val="ListParagraph"/>
              <w:ind w:left="0"/>
              <w:rPr>
                <w:rFonts w:cstheme="minorHAnsi"/>
                <w:b/>
              </w:rPr>
            </w:pPr>
          </w:p>
        </w:tc>
      </w:tr>
      <w:tr w:rsidR="00497724" w:rsidRPr="002A54D3" w14:paraId="1C708132" w14:textId="77777777" w:rsidTr="00E85080">
        <w:tc>
          <w:tcPr>
            <w:tcW w:w="10350" w:type="dxa"/>
          </w:tcPr>
          <w:p w14:paraId="09302D36" w14:textId="77777777" w:rsidR="00497724" w:rsidRPr="002A54D3" w:rsidRDefault="00497724" w:rsidP="009F0711">
            <w:pPr>
              <w:pStyle w:val="ListParagraph"/>
              <w:ind w:left="0"/>
              <w:rPr>
                <w:rFonts w:cstheme="minorHAnsi"/>
                <w:b/>
              </w:rPr>
            </w:pPr>
          </w:p>
          <w:p w14:paraId="1843369A" w14:textId="77777777" w:rsidR="00497724" w:rsidRPr="002A54D3" w:rsidRDefault="00497724" w:rsidP="00497724">
            <w:pPr>
              <w:pStyle w:val="ListParagraph"/>
              <w:ind w:left="0"/>
              <w:rPr>
                <w:rFonts w:cstheme="minorHAnsi"/>
                <w:b/>
              </w:rPr>
            </w:pPr>
            <w:r w:rsidRPr="002A54D3">
              <w:rPr>
                <w:rFonts w:cstheme="minorHAnsi"/>
                <w:b/>
              </w:rPr>
              <w:t>PANACUR® (fenbendazole) POWERPAC 10%</w:t>
            </w:r>
          </w:p>
          <w:p w14:paraId="65927E72" w14:textId="77777777" w:rsidR="00497724" w:rsidRPr="002A54D3" w:rsidRDefault="00497724" w:rsidP="00497724">
            <w:pPr>
              <w:pStyle w:val="ListParagraph"/>
              <w:ind w:left="0"/>
              <w:rPr>
                <w:rFonts w:cstheme="minorHAnsi"/>
                <w:i/>
              </w:rPr>
            </w:pPr>
          </w:p>
          <w:p w14:paraId="4009C6B6" w14:textId="77777777" w:rsidR="00497724" w:rsidRPr="002A54D3" w:rsidRDefault="00497724" w:rsidP="00497724">
            <w:pPr>
              <w:pStyle w:val="ListParagraph"/>
              <w:ind w:left="0"/>
              <w:rPr>
                <w:rFonts w:cstheme="minorHAnsi"/>
                <w:i/>
              </w:rPr>
            </w:pPr>
            <w:r w:rsidRPr="002A54D3">
              <w:rPr>
                <w:rFonts w:cstheme="minorHAnsi"/>
                <w:i/>
              </w:rPr>
              <w:t>Product description</w:t>
            </w:r>
          </w:p>
          <w:p w14:paraId="26DA3A6F" w14:textId="66EE3D12" w:rsidR="00497724" w:rsidRPr="002A54D3" w:rsidRDefault="00497724" w:rsidP="004C6A45">
            <w:pPr>
              <w:autoSpaceDE w:val="0"/>
              <w:autoSpaceDN w:val="0"/>
              <w:adjustRightInd w:val="0"/>
              <w:rPr>
                <w:rFonts w:cstheme="minorHAnsi"/>
              </w:rPr>
            </w:pPr>
            <w:r w:rsidRPr="002A54D3">
              <w:rPr>
                <w:rFonts w:cstheme="minorHAnsi"/>
              </w:rPr>
              <w:t>PANACUR® (fenbendazole) POWERPAC Paste 10% is indicated for the treatment and control of large strongyles (</w:t>
            </w:r>
            <w:r w:rsidRPr="002A54D3">
              <w:rPr>
                <w:rFonts w:cstheme="minorHAnsi"/>
                <w:i/>
                <w:iCs/>
              </w:rPr>
              <w:t>Strongylus edentatus, S. equinus, S. vulgaris</w:t>
            </w:r>
            <w:r w:rsidRPr="002A54D3">
              <w:rPr>
                <w:rFonts w:cstheme="minorHAnsi"/>
              </w:rPr>
              <w:t>), encysted early 3rd stage (hy</w:t>
            </w:r>
            <w:r w:rsidR="00C56526">
              <w:rPr>
                <w:rFonts w:cstheme="minorHAnsi"/>
              </w:rPr>
              <w:t>p</w:t>
            </w:r>
            <w:r w:rsidRPr="002A54D3">
              <w:rPr>
                <w:rFonts w:cstheme="minorHAnsi"/>
              </w:rPr>
              <w:t xml:space="preserve">obiotic), late 3rd stage and 4th stage </w:t>
            </w:r>
            <w:r w:rsidRPr="002A54D3">
              <w:rPr>
                <w:rFonts w:cstheme="minorHAnsi"/>
              </w:rPr>
              <w:lastRenderedPageBreak/>
              <w:t>cyathostome larvae, small strongyles, pinworms (</w:t>
            </w:r>
            <w:r w:rsidRPr="002A54D3">
              <w:rPr>
                <w:rFonts w:cstheme="minorHAnsi"/>
                <w:i/>
                <w:iCs/>
              </w:rPr>
              <w:t>Oxyuris equi</w:t>
            </w:r>
            <w:r w:rsidRPr="002A54D3">
              <w:rPr>
                <w:rFonts w:cstheme="minorHAnsi"/>
              </w:rPr>
              <w:t>), ascarids (</w:t>
            </w:r>
            <w:r w:rsidRPr="002A54D3">
              <w:rPr>
                <w:rFonts w:cstheme="minorHAnsi"/>
                <w:i/>
                <w:iCs/>
              </w:rPr>
              <w:t>Parascaris equorum</w:t>
            </w:r>
            <w:r w:rsidRPr="002A54D3">
              <w:rPr>
                <w:rFonts w:cstheme="minorHAnsi"/>
              </w:rPr>
              <w:t xml:space="preserve">), and for the control of arteritis caused by 4th stage larvae of </w:t>
            </w:r>
            <w:r w:rsidRPr="002A54D3">
              <w:rPr>
                <w:rFonts w:cstheme="minorHAnsi"/>
                <w:i/>
                <w:iCs/>
              </w:rPr>
              <w:t xml:space="preserve">Strongylus vulgaris </w:t>
            </w:r>
            <w:r w:rsidRPr="002A54D3">
              <w:rPr>
                <w:rFonts w:cstheme="minorHAnsi"/>
              </w:rPr>
              <w:t>in horses.</w:t>
            </w:r>
            <w:r w:rsidR="004C6A45" w:rsidRPr="002A54D3">
              <w:rPr>
                <w:rFonts w:cstheme="minorHAnsi"/>
              </w:rPr>
              <w:t xml:space="preserve"> PANACUR POWERPAC is supplied in 57 gram syringes, 5 per carton.</w:t>
            </w:r>
          </w:p>
          <w:p w14:paraId="25F95610" w14:textId="77777777" w:rsidR="004C6A45" w:rsidRPr="002A54D3" w:rsidRDefault="004C6A45" w:rsidP="004C6A45">
            <w:pPr>
              <w:autoSpaceDE w:val="0"/>
              <w:autoSpaceDN w:val="0"/>
              <w:adjustRightInd w:val="0"/>
              <w:rPr>
                <w:rFonts w:cstheme="minorHAnsi"/>
              </w:rPr>
            </w:pPr>
          </w:p>
          <w:p w14:paraId="1D008D1E" w14:textId="77777777" w:rsidR="00497724" w:rsidRPr="002A54D3" w:rsidRDefault="00497724" w:rsidP="00497724">
            <w:pPr>
              <w:rPr>
                <w:rFonts w:cstheme="minorHAnsi"/>
                <w:i/>
              </w:rPr>
            </w:pPr>
            <w:r w:rsidRPr="002A54D3">
              <w:rPr>
                <w:rFonts w:cstheme="minorHAnsi"/>
                <w:i/>
              </w:rPr>
              <w:t>Product benefits (bullets for website)</w:t>
            </w:r>
          </w:p>
          <w:p w14:paraId="60EFAD11" w14:textId="7651C3EF" w:rsidR="00CD1AAE" w:rsidRDefault="00CD1AAE" w:rsidP="00CD1AAE">
            <w:pPr>
              <w:numPr>
                <w:ilvl w:val="0"/>
                <w:numId w:val="6"/>
              </w:numPr>
              <w:shd w:val="clear" w:color="auto" w:fill="FFFFFF"/>
              <w:spacing w:before="100" w:beforeAutospacing="1" w:after="100" w:afterAutospacing="1"/>
              <w:rPr>
                <w:rFonts w:eastAsia="Times New Roman"/>
                <w:color w:val="37424A"/>
              </w:rPr>
            </w:pPr>
            <w:r w:rsidRPr="00CD1AAE">
              <w:rPr>
                <w:rStyle w:val="Strong"/>
                <w:rFonts w:eastAsia="Times New Roman"/>
                <w:b w:val="0"/>
                <w:bCs w:val="0"/>
                <w:color w:val="37424A"/>
              </w:rPr>
              <w:t>Works on a wide variety of parasites</w:t>
            </w:r>
            <w:r w:rsidRPr="00CD1AAE">
              <w:rPr>
                <w:rFonts w:eastAsia="Times New Roman"/>
                <w:b/>
                <w:bCs/>
                <w:color w:val="37424A"/>
              </w:rPr>
              <w:t> –</w:t>
            </w:r>
            <w:r>
              <w:rPr>
                <w:rFonts w:eastAsia="Times New Roman"/>
                <w:color w:val="37424A"/>
              </w:rPr>
              <w:t xml:space="preserve"> labeled for the control of large and small strongyles (including migrating larvae), pinworms and ascarids (roundworms)</w:t>
            </w:r>
            <w:r>
              <w:rPr>
                <w:rFonts w:eastAsia="Times New Roman"/>
                <w:color w:val="37424A"/>
                <w:vertAlign w:val="superscript"/>
              </w:rPr>
              <w:t>1</w:t>
            </w:r>
          </w:p>
          <w:p w14:paraId="2B9A57EA" w14:textId="34923D06" w:rsidR="00CD1AAE" w:rsidRPr="00CD1AAE" w:rsidRDefault="00CD1AAE" w:rsidP="00CD1AAE">
            <w:pPr>
              <w:pStyle w:val="ListParagraph"/>
              <w:numPr>
                <w:ilvl w:val="0"/>
                <w:numId w:val="6"/>
              </w:numPr>
              <w:rPr>
                <w:rStyle w:val="Strong"/>
                <w:rFonts w:cstheme="minorHAnsi"/>
                <w:b w:val="0"/>
                <w:bCs w:val="0"/>
              </w:rPr>
            </w:pPr>
            <w:r w:rsidRPr="00CD1AAE">
              <w:rPr>
                <w:rStyle w:val="Strong"/>
                <w:rFonts w:eastAsia="Times New Roman"/>
                <w:b w:val="0"/>
                <w:bCs w:val="0"/>
                <w:color w:val="37424A"/>
                <w:shd w:val="clear" w:color="auto" w:fill="FFFFFF"/>
              </w:rPr>
              <w:t>Effective on encysted small strongyles</w:t>
            </w:r>
          </w:p>
          <w:p w14:paraId="693BE605" w14:textId="3670253C" w:rsidR="00CD1AAE" w:rsidRPr="00CD1AAE" w:rsidRDefault="00CD1AAE" w:rsidP="00CD1AAE">
            <w:pPr>
              <w:pStyle w:val="ListParagraph"/>
              <w:numPr>
                <w:ilvl w:val="0"/>
                <w:numId w:val="6"/>
              </w:numPr>
              <w:rPr>
                <w:rStyle w:val="Strong"/>
                <w:rFonts w:cstheme="minorHAnsi"/>
                <w:b w:val="0"/>
                <w:bCs w:val="0"/>
              </w:rPr>
            </w:pPr>
            <w:r w:rsidRPr="00CD1AAE">
              <w:rPr>
                <w:rStyle w:val="Strong"/>
                <w:rFonts w:eastAsia="Times New Roman"/>
                <w:b w:val="0"/>
                <w:bCs w:val="0"/>
                <w:color w:val="37424A"/>
                <w:shd w:val="clear" w:color="auto" w:fill="FFFFFF"/>
              </w:rPr>
              <w:t>R</w:t>
            </w:r>
            <w:r w:rsidRPr="00CD1AAE">
              <w:rPr>
                <w:rStyle w:val="Strong"/>
                <w:b w:val="0"/>
                <w:bCs w:val="0"/>
                <w:shd w:val="clear" w:color="auto" w:fill="FFFFFF"/>
              </w:rPr>
              <w:t>eliable protection for foals – widely recognized as the product of choice for treating ascarids in young horses</w:t>
            </w:r>
            <w:r w:rsidRPr="00CD1AAE">
              <w:rPr>
                <w:rFonts w:eastAsia="Times New Roman"/>
                <w:color w:val="37424A"/>
                <w:vertAlign w:val="superscript"/>
              </w:rPr>
              <w:t>2,3</w:t>
            </w:r>
            <w:r>
              <w:rPr>
                <w:rFonts w:eastAsia="Times New Roman"/>
                <w:color w:val="37424A"/>
                <w:vertAlign w:val="superscript"/>
              </w:rPr>
              <w:t>,4</w:t>
            </w:r>
          </w:p>
          <w:p w14:paraId="2B093491" w14:textId="4BD7D090" w:rsidR="00CD1AAE" w:rsidRPr="00CD1AAE" w:rsidRDefault="00CD1AAE" w:rsidP="00CD1AAE">
            <w:pPr>
              <w:pStyle w:val="ListParagraph"/>
              <w:numPr>
                <w:ilvl w:val="0"/>
                <w:numId w:val="6"/>
              </w:numPr>
              <w:rPr>
                <w:rStyle w:val="Strong"/>
                <w:rFonts w:cstheme="minorHAnsi"/>
                <w:b w:val="0"/>
                <w:bCs w:val="0"/>
              </w:rPr>
            </w:pPr>
            <w:r>
              <w:rPr>
                <w:rStyle w:val="Strong"/>
                <w:rFonts w:cstheme="minorHAnsi"/>
                <w:b w:val="0"/>
                <w:bCs w:val="0"/>
              </w:rPr>
              <w:t>Unique Mode of Action – the antiparasitic action of PANACUR (fenbendazole) POWERPAC is due to the inhibition of energy metabolism in the parasite</w:t>
            </w:r>
            <w:r>
              <w:rPr>
                <w:rFonts w:eastAsia="Times New Roman"/>
                <w:color w:val="37424A"/>
                <w:vertAlign w:val="superscript"/>
              </w:rPr>
              <w:t>5</w:t>
            </w:r>
          </w:p>
          <w:p w14:paraId="1AFF5801" w14:textId="77777777" w:rsidR="00497724" w:rsidRPr="002A54D3" w:rsidRDefault="00497724" w:rsidP="00497724">
            <w:pPr>
              <w:rPr>
                <w:rFonts w:cstheme="minorHAnsi"/>
              </w:rPr>
            </w:pPr>
          </w:p>
          <w:p w14:paraId="63654897" w14:textId="492D56F9" w:rsidR="00CD1AAE" w:rsidRPr="00CD1AAE" w:rsidRDefault="00CD1AAE" w:rsidP="00CD1AAE">
            <w:pPr>
              <w:rPr>
                <w:rFonts w:cstheme="minorHAnsi"/>
                <w:color w:val="000000" w:themeColor="text1"/>
                <w:sz w:val="20"/>
                <w:szCs w:val="20"/>
                <w:vertAlign w:val="superscript"/>
              </w:rPr>
            </w:pPr>
            <w:r w:rsidRPr="00B50461">
              <w:rPr>
                <w:rFonts w:cstheme="minorHAnsi"/>
                <w:iCs/>
                <w:sz w:val="20"/>
                <w:szCs w:val="20"/>
                <w:vertAlign w:val="superscript"/>
              </w:rPr>
              <w:t xml:space="preserve">1 </w:t>
            </w:r>
            <w:r w:rsidRPr="00B50461">
              <w:rPr>
                <w:rFonts w:cstheme="minorHAnsi"/>
                <w:iCs/>
                <w:color w:val="000000" w:themeColor="text1"/>
                <w:sz w:val="20"/>
                <w:szCs w:val="20"/>
                <w:vertAlign w:val="superscript"/>
              </w:rPr>
              <w:t>PANACUR</w:t>
            </w:r>
            <w:r w:rsidRPr="00CD1AAE">
              <w:rPr>
                <w:rFonts w:cstheme="minorHAnsi"/>
                <w:color w:val="000000" w:themeColor="text1"/>
                <w:sz w:val="20"/>
                <w:szCs w:val="20"/>
                <w:vertAlign w:val="superscript"/>
              </w:rPr>
              <w:t>® (fenbendazole) POWERPAC equine dewormer product label.</w:t>
            </w:r>
          </w:p>
          <w:p w14:paraId="4059BA4E" w14:textId="0D245A9B" w:rsidR="00CD1AAE" w:rsidRPr="00CD1AAE" w:rsidRDefault="00CD1AAE" w:rsidP="00CD1AAE">
            <w:pPr>
              <w:rPr>
                <w:rFonts w:cstheme="minorHAnsi"/>
                <w:color w:val="000000" w:themeColor="text1"/>
                <w:sz w:val="20"/>
                <w:szCs w:val="20"/>
                <w:vertAlign w:val="superscript"/>
              </w:rPr>
            </w:pPr>
            <w:r w:rsidRPr="00CD1AAE">
              <w:rPr>
                <w:rFonts w:cstheme="minorHAnsi"/>
                <w:color w:val="000000" w:themeColor="text1"/>
                <w:sz w:val="20"/>
                <w:szCs w:val="20"/>
                <w:vertAlign w:val="superscript"/>
              </w:rPr>
              <w:t>2 </w:t>
            </w:r>
            <w:proofErr w:type="spellStart"/>
            <w:r w:rsidRPr="00CD1AAE">
              <w:rPr>
                <w:rFonts w:cstheme="minorHAnsi"/>
                <w:color w:val="000000" w:themeColor="text1"/>
                <w:sz w:val="20"/>
                <w:szCs w:val="20"/>
                <w:vertAlign w:val="superscript"/>
              </w:rPr>
              <w:t>Reinemeyer</w:t>
            </w:r>
            <w:proofErr w:type="spellEnd"/>
            <w:r w:rsidRPr="00CD1AAE">
              <w:rPr>
                <w:rFonts w:cstheme="minorHAnsi"/>
                <w:color w:val="000000" w:themeColor="text1"/>
                <w:sz w:val="20"/>
                <w:szCs w:val="20"/>
                <w:vertAlign w:val="superscript"/>
              </w:rPr>
              <w:t xml:space="preserve"> CR, Prado JC, Vaala WE. Larvicidal efficacy of fenbendazole against a macrocyclic lactone-resistant isolate of Parascaris equorum in foals. Proceedings of the 55th Annual Meeting of the American Association of Veterinary Parasitologists, 2010, Atlanta, GA, p49. </w:t>
            </w:r>
          </w:p>
          <w:p w14:paraId="21F9BF20" w14:textId="46B4A627" w:rsidR="00CD1AAE" w:rsidRPr="00CD1AAE" w:rsidRDefault="00CD1AAE" w:rsidP="00CD1AAE">
            <w:pPr>
              <w:rPr>
                <w:rFonts w:cstheme="minorHAnsi"/>
                <w:color w:val="000000" w:themeColor="text1"/>
                <w:sz w:val="20"/>
                <w:szCs w:val="20"/>
                <w:vertAlign w:val="superscript"/>
              </w:rPr>
            </w:pPr>
            <w:r w:rsidRPr="00CD1AAE">
              <w:rPr>
                <w:rFonts w:cstheme="minorHAnsi"/>
                <w:color w:val="000000" w:themeColor="text1"/>
                <w:sz w:val="20"/>
                <w:szCs w:val="20"/>
                <w:vertAlign w:val="superscript"/>
              </w:rPr>
              <w:t>3 AAEP Parasite Control Guidelines. Revised February 2016.</w:t>
            </w:r>
          </w:p>
          <w:p w14:paraId="77AA3994" w14:textId="1B5708B4" w:rsidR="00CD1AAE" w:rsidRPr="00CD1AAE" w:rsidRDefault="00CD1AAE" w:rsidP="00CD1AAE">
            <w:pPr>
              <w:rPr>
                <w:rFonts w:cstheme="minorHAnsi"/>
                <w:color w:val="000000" w:themeColor="text1"/>
                <w:sz w:val="20"/>
                <w:szCs w:val="20"/>
                <w:vertAlign w:val="superscript"/>
              </w:rPr>
            </w:pPr>
            <w:r w:rsidRPr="00CD1AAE">
              <w:rPr>
                <w:rFonts w:cstheme="minorHAnsi"/>
                <w:color w:val="000000" w:themeColor="text1"/>
                <w:sz w:val="20"/>
                <w:szCs w:val="20"/>
                <w:vertAlign w:val="superscript"/>
              </w:rPr>
              <w:t xml:space="preserve">4 Cribb, NC, Cote, NM, </w:t>
            </w:r>
            <w:proofErr w:type="spellStart"/>
            <w:r w:rsidRPr="00CD1AAE">
              <w:rPr>
                <w:rFonts w:cstheme="minorHAnsi"/>
                <w:color w:val="000000" w:themeColor="text1"/>
                <w:sz w:val="20"/>
                <w:szCs w:val="20"/>
                <w:vertAlign w:val="superscript"/>
              </w:rPr>
              <w:t>Bouré</w:t>
            </w:r>
            <w:proofErr w:type="spellEnd"/>
            <w:r w:rsidRPr="00CD1AAE">
              <w:rPr>
                <w:rFonts w:cstheme="minorHAnsi"/>
                <w:color w:val="000000" w:themeColor="text1"/>
                <w:sz w:val="20"/>
                <w:szCs w:val="20"/>
                <w:vertAlign w:val="superscript"/>
              </w:rPr>
              <w:t>, LP, Peregrine, AS. Acute small intestinal obstruction associated with Parascaris equorum infection in young horses: 25 cases (1985-2004). N Z Vet J. 2006 Dec;54(6):338-43. </w:t>
            </w:r>
          </w:p>
          <w:p w14:paraId="53703F16" w14:textId="6F1C233C" w:rsidR="00CD1AAE" w:rsidRPr="00CD1AAE" w:rsidRDefault="00B50461" w:rsidP="00CD1AAE">
            <w:pPr>
              <w:rPr>
                <w:rFonts w:cstheme="minorHAnsi"/>
                <w:color w:val="000000" w:themeColor="text1"/>
                <w:sz w:val="20"/>
                <w:szCs w:val="20"/>
                <w:vertAlign w:val="superscript"/>
              </w:rPr>
            </w:pPr>
            <w:r>
              <w:rPr>
                <w:rFonts w:cstheme="minorHAnsi"/>
                <w:color w:val="000000" w:themeColor="text1"/>
                <w:sz w:val="20"/>
                <w:szCs w:val="20"/>
                <w:vertAlign w:val="superscript"/>
              </w:rPr>
              <w:t>5</w:t>
            </w:r>
            <w:r w:rsidR="00CD1AAE" w:rsidRPr="00CD1AAE">
              <w:rPr>
                <w:rFonts w:cstheme="minorHAnsi"/>
                <w:color w:val="000000" w:themeColor="text1"/>
                <w:sz w:val="20"/>
                <w:szCs w:val="20"/>
                <w:vertAlign w:val="superscript"/>
              </w:rPr>
              <w:t> Lacey E. Mode of Action of Benzimidazoles. Parasitology Today, vol. 6, no. 4, 1990.</w:t>
            </w:r>
          </w:p>
          <w:p w14:paraId="163CEA2F" w14:textId="77777777" w:rsidR="00497724" w:rsidRPr="002A54D3" w:rsidRDefault="00497724" w:rsidP="00497724">
            <w:pPr>
              <w:rPr>
                <w:rFonts w:cstheme="minorHAnsi"/>
                <w:sz w:val="20"/>
                <w:szCs w:val="20"/>
              </w:rPr>
            </w:pPr>
          </w:p>
          <w:p w14:paraId="39F0C259" w14:textId="226C4B01" w:rsidR="00497724" w:rsidRPr="002A54D3" w:rsidRDefault="00497724" w:rsidP="00497724">
            <w:pPr>
              <w:pStyle w:val="ListParagraph"/>
              <w:ind w:left="0"/>
              <w:rPr>
                <w:rFonts w:cstheme="minorHAnsi"/>
              </w:rPr>
            </w:pPr>
            <w:r w:rsidRPr="00C56526">
              <w:rPr>
                <w:rFonts w:cstheme="minorHAnsi"/>
                <w:b/>
                <w:bCs/>
              </w:rPr>
              <w:t>IMPORTANT SAFETY INFORMATION:</w:t>
            </w:r>
            <w:r w:rsidRPr="002A54D3">
              <w:rPr>
                <w:rFonts w:cstheme="minorHAnsi"/>
              </w:rPr>
              <w:t xml:space="preserve"> </w:t>
            </w:r>
            <w:r w:rsidR="005D3721" w:rsidRPr="002A54D3">
              <w:rPr>
                <w:rFonts w:cstheme="minorHAnsi"/>
              </w:rPr>
              <w:t>Not for use in humans. Keep out of reach of children. Consult your veterinarian for assistance in the diagnosis, treatment and control of parasitism. Do not use in horses intended for human consumption.</w:t>
            </w:r>
          </w:p>
          <w:p w14:paraId="645CAFCA" w14:textId="77777777" w:rsidR="00497724" w:rsidRPr="002A54D3" w:rsidRDefault="00497724" w:rsidP="00497724">
            <w:pPr>
              <w:pStyle w:val="ListParagraph"/>
              <w:ind w:left="0"/>
              <w:rPr>
                <w:rFonts w:cstheme="minorHAnsi"/>
                <w:i/>
              </w:rPr>
            </w:pPr>
          </w:p>
          <w:p w14:paraId="52D0C1F5" w14:textId="77777777" w:rsidR="00497724" w:rsidRPr="002A54D3" w:rsidRDefault="00497724" w:rsidP="00497724">
            <w:pPr>
              <w:pStyle w:val="ListParagraph"/>
              <w:ind w:left="0"/>
              <w:rPr>
                <w:rFonts w:cstheme="minorHAnsi"/>
                <w:i/>
              </w:rPr>
            </w:pPr>
            <w:r w:rsidRPr="002A54D3">
              <w:rPr>
                <w:rFonts w:cstheme="minorHAnsi"/>
                <w:i/>
              </w:rPr>
              <w:t>Key words</w:t>
            </w:r>
          </w:p>
          <w:p w14:paraId="2DADAB39" w14:textId="77777777" w:rsidR="00497724" w:rsidRPr="002A54D3" w:rsidRDefault="00497724" w:rsidP="00497724">
            <w:pPr>
              <w:pStyle w:val="ListParagraph"/>
              <w:ind w:left="0"/>
              <w:rPr>
                <w:rFonts w:cstheme="minorHAnsi"/>
              </w:rPr>
            </w:pPr>
            <w:r w:rsidRPr="002A54D3">
              <w:rPr>
                <w:rFonts w:cstheme="minorHAnsi"/>
              </w:rPr>
              <w:t>PANACUR POWERPAC, PANACUR® POWERPAC, Strongyles, pinworms, roundworms, PANACUR® POWERPAC 10%, fenbendazole, Panacur, powerpac, powerpak</w:t>
            </w:r>
          </w:p>
          <w:p w14:paraId="4E513524" w14:textId="7EC29CA5" w:rsidR="007630BE" w:rsidRPr="002A54D3" w:rsidRDefault="007630BE" w:rsidP="00336A34">
            <w:pPr>
              <w:pStyle w:val="ListParagraph"/>
              <w:ind w:left="0"/>
              <w:rPr>
                <w:rFonts w:cstheme="minorHAnsi"/>
                <w:b/>
              </w:rPr>
            </w:pPr>
          </w:p>
        </w:tc>
      </w:tr>
      <w:tr w:rsidR="00E85080" w:rsidRPr="002A54D3" w14:paraId="26C3E033" w14:textId="77777777" w:rsidTr="00E85080">
        <w:tc>
          <w:tcPr>
            <w:tcW w:w="10350" w:type="dxa"/>
          </w:tcPr>
          <w:p w14:paraId="58F917C2" w14:textId="77777777" w:rsidR="00E85080" w:rsidRPr="002A54D3" w:rsidRDefault="00E85080" w:rsidP="009F0711">
            <w:pPr>
              <w:pStyle w:val="NoSpacing"/>
              <w:rPr>
                <w:rFonts w:cstheme="minorHAnsi"/>
                <w:b/>
                <w:color w:val="FF0000"/>
                <w:sz w:val="24"/>
                <w:szCs w:val="24"/>
              </w:rPr>
            </w:pPr>
          </w:p>
          <w:p w14:paraId="1F6DA322" w14:textId="4122AC03" w:rsidR="00E85080" w:rsidRPr="002A54D3" w:rsidRDefault="00E85080" w:rsidP="009F0711">
            <w:pPr>
              <w:pStyle w:val="NoSpacing"/>
              <w:rPr>
                <w:rFonts w:cstheme="minorHAnsi"/>
                <w:b/>
                <w:sz w:val="24"/>
                <w:szCs w:val="24"/>
              </w:rPr>
            </w:pPr>
            <w:r w:rsidRPr="002A54D3">
              <w:rPr>
                <w:rFonts w:cstheme="minorHAnsi"/>
                <w:b/>
                <w:sz w:val="24"/>
                <w:szCs w:val="24"/>
              </w:rPr>
              <w:t>PANACUR® (fenbendazole) Suspension</w:t>
            </w:r>
            <w:r w:rsidR="002A54D3" w:rsidRPr="002A54D3">
              <w:rPr>
                <w:rFonts w:cstheme="minorHAnsi"/>
                <w:b/>
                <w:sz w:val="24"/>
                <w:szCs w:val="24"/>
              </w:rPr>
              <w:t xml:space="preserve"> 10%</w:t>
            </w:r>
            <w:r w:rsidRPr="002A54D3">
              <w:rPr>
                <w:rFonts w:cstheme="minorHAnsi"/>
                <w:b/>
                <w:sz w:val="24"/>
                <w:szCs w:val="24"/>
              </w:rPr>
              <w:t xml:space="preserve"> - Liter</w:t>
            </w:r>
          </w:p>
          <w:p w14:paraId="4C17FFFB" w14:textId="77777777" w:rsidR="00E85080" w:rsidRPr="002A54D3" w:rsidRDefault="00E85080" w:rsidP="009F0711">
            <w:pPr>
              <w:pStyle w:val="NoSpacing"/>
              <w:rPr>
                <w:rFonts w:cstheme="minorHAnsi"/>
                <w:b/>
                <w:sz w:val="24"/>
                <w:szCs w:val="24"/>
              </w:rPr>
            </w:pPr>
          </w:p>
          <w:p w14:paraId="4FC4159A" w14:textId="77777777" w:rsidR="00E85080" w:rsidRPr="002A54D3" w:rsidRDefault="00E85080" w:rsidP="009F0711">
            <w:pPr>
              <w:pStyle w:val="NoSpacing"/>
              <w:rPr>
                <w:rFonts w:cstheme="minorHAnsi"/>
                <w:i/>
                <w:sz w:val="24"/>
                <w:szCs w:val="24"/>
              </w:rPr>
            </w:pPr>
            <w:r w:rsidRPr="002A54D3">
              <w:rPr>
                <w:rFonts w:cstheme="minorHAnsi"/>
                <w:i/>
                <w:sz w:val="24"/>
                <w:szCs w:val="24"/>
              </w:rPr>
              <w:t>Product description</w:t>
            </w:r>
          </w:p>
          <w:p w14:paraId="5C430209" w14:textId="575C362E" w:rsidR="00E85080" w:rsidRPr="002A54D3" w:rsidRDefault="00E85080" w:rsidP="005C5FD7">
            <w:pPr>
              <w:autoSpaceDE w:val="0"/>
              <w:autoSpaceDN w:val="0"/>
              <w:adjustRightInd w:val="0"/>
              <w:rPr>
                <w:rFonts w:cstheme="minorHAnsi"/>
                <w:i/>
                <w:iCs/>
              </w:rPr>
            </w:pPr>
            <w:r w:rsidRPr="002A54D3">
              <w:rPr>
                <w:rFonts w:cstheme="minorHAnsi"/>
                <w:sz w:val="24"/>
                <w:szCs w:val="24"/>
              </w:rPr>
              <w:t>PANACUR</w:t>
            </w:r>
            <w:r w:rsidRPr="002A54D3">
              <w:rPr>
                <w:rFonts w:cstheme="minorHAnsi"/>
                <w:bCs/>
                <w:sz w:val="24"/>
                <w:szCs w:val="24"/>
              </w:rPr>
              <w:t>®</w:t>
            </w:r>
            <w:r w:rsidRPr="002A54D3">
              <w:rPr>
                <w:rFonts w:cstheme="minorHAnsi"/>
                <w:sz w:val="24"/>
                <w:szCs w:val="24"/>
              </w:rPr>
              <w:t xml:space="preserve"> (</w:t>
            </w:r>
            <w:r w:rsidRPr="002A54D3">
              <w:rPr>
                <w:rFonts w:cstheme="minorHAnsi"/>
              </w:rPr>
              <w:t xml:space="preserve">fenbendazole) </w:t>
            </w:r>
            <w:r w:rsidR="005C5FD7" w:rsidRPr="002A54D3">
              <w:rPr>
                <w:rFonts w:cstheme="minorHAnsi"/>
              </w:rPr>
              <w:t>Suspensio</w:t>
            </w:r>
            <w:r w:rsidR="002A54D3" w:rsidRPr="002A54D3">
              <w:rPr>
                <w:rFonts w:cstheme="minorHAnsi"/>
              </w:rPr>
              <w:t>n 10%</w:t>
            </w:r>
            <w:r w:rsidR="005C5FD7" w:rsidRPr="002A54D3">
              <w:rPr>
                <w:rFonts w:cstheme="minorHAnsi"/>
              </w:rPr>
              <w:t xml:space="preserve"> </w:t>
            </w:r>
            <w:r w:rsidRPr="002A54D3">
              <w:rPr>
                <w:rFonts w:cstheme="minorHAnsi"/>
              </w:rPr>
              <w:t xml:space="preserve">is </w:t>
            </w:r>
            <w:r w:rsidR="005C5FD7" w:rsidRPr="002A54D3">
              <w:rPr>
                <w:rFonts w:cstheme="minorHAnsi"/>
              </w:rPr>
              <w:t>indicated for the treatment and control of large strongyles (</w:t>
            </w:r>
            <w:r w:rsidR="005C5FD7" w:rsidRPr="002A54D3">
              <w:rPr>
                <w:rFonts w:cstheme="minorHAnsi"/>
                <w:i/>
                <w:iCs/>
              </w:rPr>
              <w:t xml:space="preserve">Strongylus edentatus, S. equinus, S. vulgaris, Triodontophorus </w:t>
            </w:r>
            <w:r w:rsidR="005C5FD7" w:rsidRPr="002A54D3">
              <w:rPr>
                <w:rFonts w:cstheme="minorHAnsi"/>
              </w:rPr>
              <w:t>spp.), small strongyles (</w:t>
            </w:r>
            <w:r w:rsidR="005C5FD7" w:rsidRPr="002A54D3">
              <w:rPr>
                <w:rFonts w:cstheme="minorHAnsi"/>
                <w:i/>
                <w:iCs/>
              </w:rPr>
              <w:t xml:space="preserve">Cyathostomum </w:t>
            </w:r>
            <w:r w:rsidR="005C5FD7" w:rsidRPr="002A54D3">
              <w:rPr>
                <w:rFonts w:cstheme="minorHAnsi"/>
              </w:rPr>
              <w:t xml:space="preserve">spp., </w:t>
            </w:r>
            <w:r w:rsidR="005C5FD7" w:rsidRPr="002A54D3">
              <w:rPr>
                <w:rFonts w:cstheme="minorHAnsi"/>
                <w:i/>
                <w:iCs/>
              </w:rPr>
              <w:t xml:space="preserve">Cylicocyclus </w:t>
            </w:r>
            <w:r w:rsidR="005C5FD7" w:rsidRPr="002A54D3">
              <w:rPr>
                <w:rFonts w:cstheme="minorHAnsi"/>
              </w:rPr>
              <w:t xml:space="preserve">spp., </w:t>
            </w:r>
            <w:r w:rsidR="005C5FD7" w:rsidRPr="002A54D3">
              <w:rPr>
                <w:rFonts w:cstheme="minorHAnsi"/>
                <w:i/>
                <w:iCs/>
              </w:rPr>
              <w:t xml:space="preserve">Cylicostephanus </w:t>
            </w:r>
            <w:r w:rsidR="005C5FD7" w:rsidRPr="002A54D3">
              <w:rPr>
                <w:rFonts w:cstheme="minorHAnsi"/>
              </w:rPr>
              <w:t xml:space="preserve">spp., </w:t>
            </w:r>
            <w:r w:rsidR="005C5FD7" w:rsidRPr="002A54D3">
              <w:rPr>
                <w:rFonts w:cstheme="minorHAnsi"/>
                <w:i/>
                <w:iCs/>
              </w:rPr>
              <w:t xml:space="preserve">Cylicodontophorus </w:t>
            </w:r>
            <w:r w:rsidR="005C5FD7" w:rsidRPr="002A54D3">
              <w:rPr>
                <w:rFonts w:cstheme="minorHAnsi"/>
              </w:rPr>
              <w:t>spp.), and pinworms (</w:t>
            </w:r>
            <w:r w:rsidR="005C5FD7" w:rsidRPr="002A54D3">
              <w:rPr>
                <w:rFonts w:cstheme="minorHAnsi"/>
                <w:i/>
                <w:iCs/>
              </w:rPr>
              <w:t>Oxyuris equi</w:t>
            </w:r>
            <w:r w:rsidR="005C5FD7" w:rsidRPr="002A54D3">
              <w:rPr>
                <w:rFonts w:cstheme="minorHAnsi"/>
              </w:rPr>
              <w:t>) in horses</w:t>
            </w:r>
            <w:r w:rsidR="002A54D3" w:rsidRPr="002A54D3">
              <w:rPr>
                <w:rFonts w:cstheme="minorHAnsi"/>
              </w:rPr>
              <w:t>; d</w:t>
            </w:r>
            <w:r w:rsidR="005C5FD7" w:rsidRPr="002A54D3">
              <w:rPr>
                <w:rFonts w:cstheme="minorHAnsi"/>
              </w:rPr>
              <w:t>osage is 2.3 mg/</w:t>
            </w:r>
            <w:proofErr w:type="spellStart"/>
            <w:r w:rsidR="00275950" w:rsidRPr="002A54D3">
              <w:rPr>
                <w:rFonts w:cstheme="minorHAnsi"/>
              </w:rPr>
              <w:t>lb</w:t>
            </w:r>
            <w:proofErr w:type="spellEnd"/>
            <w:r w:rsidR="005C5FD7" w:rsidRPr="002A54D3">
              <w:rPr>
                <w:rFonts w:cstheme="minorHAnsi"/>
              </w:rPr>
              <w:t xml:space="preserve"> (5 mg/kg).  It is also indicated for the treatment and control of ascarids (</w:t>
            </w:r>
            <w:r w:rsidR="005C5FD7" w:rsidRPr="002A54D3">
              <w:rPr>
                <w:rFonts w:cstheme="minorHAnsi"/>
                <w:i/>
                <w:iCs/>
              </w:rPr>
              <w:t>Parascaris equorum</w:t>
            </w:r>
            <w:r w:rsidR="005C5FD7" w:rsidRPr="002A54D3">
              <w:rPr>
                <w:rFonts w:cstheme="minorHAnsi"/>
              </w:rPr>
              <w:t>)</w:t>
            </w:r>
            <w:r w:rsidR="002A54D3" w:rsidRPr="002A54D3">
              <w:rPr>
                <w:rFonts w:cstheme="minorHAnsi"/>
              </w:rPr>
              <w:t xml:space="preserve"> in horses; d</w:t>
            </w:r>
            <w:r w:rsidR="005C5FD7" w:rsidRPr="002A54D3">
              <w:rPr>
                <w:rFonts w:cstheme="minorHAnsi"/>
              </w:rPr>
              <w:t>osage is 4.6 mg/</w:t>
            </w:r>
            <w:proofErr w:type="spellStart"/>
            <w:r w:rsidR="00275950" w:rsidRPr="002A54D3">
              <w:rPr>
                <w:rFonts w:cstheme="minorHAnsi"/>
              </w:rPr>
              <w:t>lb</w:t>
            </w:r>
            <w:proofErr w:type="spellEnd"/>
            <w:r w:rsidR="005C5FD7" w:rsidRPr="002A54D3">
              <w:rPr>
                <w:rFonts w:cstheme="minorHAnsi"/>
              </w:rPr>
              <w:t xml:space="preserve"> (10 mg/kg)</w:t>
            </w:r>
            <w:r w:rsidR="002A54D3" w:rsidRPr="002A54D3">
              <w:rPr>
                <w:rFonts w:cstheme="minorHAnsi"/>
              </w:rPr>
              <w:t>.</w:t>
            </w:r>
          </w:p>
          <w:p w14:paraId="40398FE2" w14:textId="77777777" w:rsidR="005C5FD7" w:rsidRPr="002A54D3" w:rsidRDefault="005C5FD7" w:rsidP="005C5FD7">
            <w:pPr>
              <w:rPr>
                <w:rFonts w:cstheme="minorHAnsi"/>
                <w:color w:val="FF0000"/>
              </w:rPr>
            </w:pPr>
          </w:p>
          <w:p w14:paraId="11B1F1C2" w14:textId="77777777" w:rsidR="00E85080" w:rsidRPr="002A54D3" w:rsidRDefault="00E85080" w:rsidP="009F0711">
            <w:pPr>
              <w:rPr>
                <w:rFonts w:cstheme="minorHAnsi"/>
                <w:i/>
              </w:rPr>
            </w:pPr>
            <w:r w:rsidRPr="002A54D3">
              <w:rPr>
                <w:rFonts w:cstheme="minorHAnsi"/>
                <w:i/>
              </w:rPr>
              <w:t>Product bullets (bullets for Retailer website)</w:t>
            </w:r>
          </w:p>
          <w:p w14:paraId="729454D3" w14:textId="5C800E01" w:rsidR="00E85080" w:rsidRPr="002A54D3" w:rsidRDefault="00E85080" w:rsidP="00CD1AAE">
            <w:pPr>
              <w:pStyle w:val="ListParagraph"/>
              <w:numPr>
                <w:ilvl w:val="0"/>
                <w:numId w:val="1"/>
              </w:numPr>
              <w:rPr>
                <w:rFonts w:cstheme="minorHAnsi"/>
              </w:rPr>
            </w:pPr>
            <w:r w:rsidRPr="002A54D3">
              <w:rPr>
                <w:rFonts w:cstheme="minorHAnsi"/>
              </w:rPr>
              <w:t xml:space="preserve">Administer orally </w:t>
            </w:r>
            <w:r w:rsidR="002A54D3" w:rsidRPr="002A54D3">
              <w:rPr>
                <w:rFonts w:cstheme="minorHAnsi"/>
              </w:rPr>
              <w:t>with dosing syringe or stomach tube</w:t>
            </w:r>
          </w:p>
          <w:p w14:paraId="48B8C9C2" w14:textId="65719912" w:rsidR="00E85080" w:rsidRPr="002A54D3" w:rsidRDefault="002A54D3" w:rsidP="00CD1AAE">
            <w:pPr>
              <w:pStyle w:val="ListParagraph"/>
              <w:numPr>
                <w:ilvl w:val="0"/>
                <w:numId w:val="1"/>
              </w:numPr>
              <w:rPr>
                <w:rFonts w:cstheme="minorHAnsi"/>
                <w:i/>
              </w:rPr>
            </w:pPr>
            <w:r w:rsidRPr="002A54D3">
              <w:rPr>
                <w:rFonts w:cstheme="minorHAnsi"/>
                <w:shd w:val="clear" w:color="auto" w:fill="FFFFFF"/>
              </w:rPr>
              <w:t>Do not underdose. Ensure each animal receives a complete dose based on a current body weight. Underdosing may result in ineffective treatment, and encourage the development of parasite resistance.</w:t>
            </w:r>
          </w:p>
          <w:p w14:paraId="7420FD4D" w14:textId="77777777" w:rsidR="00E85080" w:rsidRPr="002A54D3" w:rsidRDefault="00E85080" w:rsidP="009F0711">
            <w:pPr>
              <w:pStyle w:val="ListParagraph"/>
              <w:rPr>
                <w:rFonts w:cstheme="minorHAnsi"/>
                <w:sz w:val="24"/>
                <w:szCs w:val="24"/>
              </w:rPr>
            </w:pPr>
          </w:p>
          <w:p w14:paraId="36E08E85" w14:textId="12CD3EC8" w:rsidR="002A54D3" w:rsidRPr="002A54D3" w:rsidRDefault="00E85080" w:rsidP="00C56526">
            <w:pPr>
              <w:contextualSpacing/>
              <w:rPr>
                <w:rFonts w:cstheme="minorHAnsi"/>
              </w:rPr>
            </w:pPr>
            <w:r w:rsidRPr="00C56526">
              <w:rPr>
                <w:rFonts w:eastAsia="Times New Roman" w:cstheme="minorHAnsi"/>
                <w:b/>
                <w:bCs/>
                <w:sz w:val="24"/>
                <w:szCs w:val="24"/>
                <w:lang w:val="en"/>
              </w:rPr>
              <w:t>IMPORTANT SAFETY INFORMATION:</w:t>
            </w:r>
            <w:r w:rsidR="00C56526">
              <w:rPr>
                <w:rFonts w:eastAsia="Times New Roman" w:cstheme="minorHAnsi"/>
                <w:b/>
                <w:bCs/>
                <w:sz w:val="24"/>
                <w:szCs w:val="24"/>
                <w:lang w:val="en"/>
              </w:rPr>
              <w:t xml:space="preserve">  </w:t>
            </w:r>
            <w:r w:rsidR="002A54D3" w:rsidRPr="002A54D3">
              <w:rPr>
                <w:rFonts w:cstheme="minorHAnsi"/>
              </w:rPr>
              <w:t>Not for use in humans. Keep out of reach of children. Consult your veterinarian for assistance in the diagnosis, treatment and control of parasitism. Do not use in horses intended for human consumption.</w:t>
            </w:r>
          </w:p>
          <w:p w14:paraId="1C0457A6" w14:textId="77777777" w:rsidR="00E85080" w:rsidRPr="002A54D3" w:rsidRDefault="00E85080" w:rsidP="009F0711">
            <w:pPr>
              <w:pStyle w:val="NoSpacing"/>
              <w:rPr>
                <w:rFonts w:cstheme="minorHAnsi"/>
                <w:sz w:val="24"/>
                <w:szCs w:val="24"/>
              </w:rPr>
            </w:pPr>
          </w:p>
          <w:p w14:paraId="6DA34A6D" w14:textId="77777777" w:rsidR="00E85080" w:rsidRPr="002A54D3" w:rsidRDefault="00E85080" w:rsidP="009F0711">
            <w:pPr>
              <w:pStyle w:val="NoSpacing"/>
              <w:rPr>
                <w:rFonts w:cstheme="minorHAnsi"/>
                <w:i/>
                <w:sz w:val="24"/>
                <w:szCs w:val="24"/>
              </w:rPr>
            </w:pPr>
            <w:r w:rsidRPr="002A54D3">
              <w:rPr>
                <w:rFonts w:cstheme="minorHAnsi"/>
                <w:i/>
                <w:sz w:val="24"/>
                <w:szCs w:val="24"/>
              </w:rPr>
              <w:t>Key words</w:t>
            </w:r>
          </w:p>
          <w:p w14:paraId="2C6B309C" w14:textId="2A62E170" w:rsidR="00E85080" w:rsidRPr="002A54D3" w:rsidRDefault="00E85080" w:rsidP="009F0711">
            <w:pPr>
              <w:pStyle w:val="NoSpacing"/>
              <w:rPr>
                <w:rFonts w:cstheme="minorHAnsi"/>
                <w:i/>
                <w:sz w:val="24"/>
                <w:szCs w:val="24"/>
              </w:rPr>
            </w:pPr>
            <w:r w:rsidRPr="002A54D3">
              <w:rPr>
                <w:rFonts w:cstheme="minorHAnsi"/>
                <w:sz w:val="24"/>
                <w:szCs w:val="24"/>
              </w:rPr>
              <w:t xml:space="preserve">PANACUR, fenbendazole, </w:t>
            </w:r>
            <w:r w:rsidR="002A54D3" w:rsidRPr="002A54D3">
              <w:rPr>
                <w:rFonts w:cstheme="minorHAnsi"/>
                <w:sz w:val="24"/>
                <w:szCs w:val="24"/>
              </w:rPr>
              <w:t>strongyles, pinworms, ascarids, small strongyles, large strongyles</w:t>
            </w:r>
          </w:p>
          <w:p w14:paraId="273491A3" w14:textId="6263D9F1" w:rsidR="002A54D3" w:rsidRPr="002A54D3" w:rsidRDefault="002A54D3" w:rsidP="00336A34">
            <w:pPr>
              <w:pStyle w:val="ListParagraph"/>
              <w:ind w:left="0"/>
              <w:rPr>
                <w:rFonts w:cstheme="minorHAnsi"/>
                <w:b/>
                <w:color w:val="FF0000"/>
              </w:rPr>
            </w:pPr>
          </w:p>
        </w:tc>
      </w:tr>
      <w:tr w:rsidR="00E85080" w:rsidRPr="002A54D3" w14:paraId="0B93FCAF" w14:textId="77777777" w:rsidTr="00E85080">
        <w:tc>
          <w:tcPr>
            <w:tcW w:w="10350" w:type="dxa"/>
          </w:tcPr>
          <w:p w14:paraId="437CD107" w14:textId="77777777" w:rsidR="00E85080" w:rsidRPr="002A54D3" w:rsidRDefault="00E85080" w:rsidP="009F0711">
            <w:pPr>
              <w:pStyle w:val="ListParagraph"/>
              <w:ind w:left="0"/>
              <w:rPr>
                <w:rFonts w:cstheme="minorHAnsi"/>
                <w:b/>
              </w:rPr>
            </w:pPr>
          </w:p>
          <w:p w14:paraId="266BE4D8" w14:textId="7F7A1167" w:rsidR="00E85080" w:rsidRPr="002A54D3" w:rsidRDefault="00E85080" w:rsidP="009F0711">
            <w:pPr>
              <w:pStyle w:val="ListParagraph"/>
              <w:ind w:left="0"/>
              <w:rPr>
                <w:rFonts w:cstheme="minorHAnsi"/>
                <w:b/>
              </w:rPr>
            </w:pPr>
            <w:r w:rsidRPr="002A54D3">
              <w:rPr>
                <w:rFonts w:cstheme="minorHAnsi"/>
                <w:b/>
              </w:rPr>
              <w:t xml:space="preserve">SAFE-GUARD® (fenbendazole) 25 </w:t>
            </w:r>
            <w:r w:rsidR="00847A67">
              <w:rPr>
                <w:rFonts w:cstheme="minorHAnsi"/>
                <w:b/>
              </w:rPr>
              <w:t>g</w:t>
            </w:r>
            <w:r w:rsidRPr="002A54D3">
              <w:rPr>
                <w:rFonts w:cstheme="minorHAnsi"/>
                <w:b/>
              </w:rPr>
              <w:t>m Paste 10%</w:t>
            </w:r>
          </w:p>
          <w:p w14:paraId="1436EA25" w14:textId="77777777" w:rsidR="00E85080" w:rsidRPr="002A54D3" w:rsidRDefault="00E85080" w:rsidP="009F0711">
            <w:pPr>
              <w:pStyle w:val="ListParagraph"/>
              <w:ind w:left="0"/>
              <w:rPr>
                <w:rFonts w:cstheme="minorHAnsi"/>
                <w:i/>
              </w:rPr>
            </w:pPr>
          </w:p>
          <w:p w14:paraId="19C13F59" w14:textId="77777777" w:rsidR="00E85080" w:rsidRPr="002A54D3" w:rsidRDefault="00E85080" w:rsidP="009F0711">
            <w:pPr>
              <w:pStyle w:val="ListParagraph"/>
              <w:ind w:left="0"/>
              <w:rPr>
                <w:rFonts w:cstheme="minorHAnsi"/>
                <w:i/>
              </w:rPr>
            </w:pPr>
            <w:r w:rsidRPr="002A54D3">
              <w:rPr>
                <w:rFonts w:cstheme="minorHAnsi"/>
                <w:i/>
              </w:rPr>
              <w:t>Product description</w:t>
            </w:r>
          </w:p>
          <w:p w14:paraId="25A7EBC3" w14:textId="236F26BE" w:rsidR="00E85080" w:rsidRPr="002A54D3" w:rsidRDefault="00E85080" w:rsidP="00835A5E">
            <w:pPr>
              <w:autoSpaceDE w:val="0"/>
              <w:autoSpaceDN w:val="0"/>
              <w:adjustRightInd w:val="0"/>
              <w:rPr>
                <w:rFonts w:cstheme="minorHAnsi"/>
              </w:rPr>
            </w:pPr>
            <w:r w:rsidRPr="002A54D3">
              <w:rPr>
                <w:rFonts w:cstheme="minorHAnsi"/>
              </w:rPr>
              <w:t xml:space="preserve">SAFE-GUARD® (fenbendazole) Paste 10% </w:t>
            </w:r>
            <w:r w:rsidR="00320D5F" w:rsidRPr="002A54D3">
              <w:rPr>
                <w:rFonts w:cstheme="minorHAnsi"/>
              </w:rPr>
              <w:t xml:space="preserve">is </w:t>
            </w:r>
            <w:r w:rsidR="00835A5E" w:rsidRPr="002A54D3">
              <w:rPr>
                <w:rFonts w:cstheme="minorHAnsi"/>
              </w:rPr>
              <w:t>indicated for the treatment and control of large strongyles (</w:t>
            </w:r>
            <w:r w:rsidR="00835A5E" w:rsidRPr="002A54D3">
              <w:rPr>
                <w:rFonts w:cstheme="minorHAnsi"/>
                <w:i/>
                <w:iCs/>
              </w:rPr>
              <w:t>Strongylus edentatus, S. equinus, S. vulgaris</w:t>
            </w:r>
            <w:r w:rsidR="00835A5E" w:rsidRPr="002A54D3">
              <w:rPr>
                <w:rFonts w:cstheme="minorHAnsi"/>
              </w:rPr>
              <w:t>), encysted early 3rd stage (hypobiotic), late 3</w:t>
            </w:r>
            <w:r w:rsidR="00835A5E" w:rsidRPr="002A54D3">
              <w:rPr>
                <w:rFonts w:cstheme="minorHAnsi"/>
                <w:vertAlign w:val="superscript"/>
              </w:rPr>
              <w:t>rd</w:t>
            </w:r>
            <w:r w:rsidR="00835A5E" w:rsidRPr="002A54D3">
              <w:rPr>
                <w:rFonts w:cstheme="minorHAnsi"/>
              </w:rPr>
              <w:t xml:space="preserve"> stage and 4th stage cyathostome larvae, small strongyles, pinworms (</w:t>
            </w:r>
            <w:r w:rsidR="00835A5E" w:rsidRPr="002A54D3">
              <w:rPr>
                <w:rFonts w:cstheme="minorHAnsi"/>
                <w:i/>
                <w:iCs/>
              </w:rPr>
              <w:t>Oxyuris equi</w:t>
            </w:r>
            <w:r w:rsidR="00835A5E" w:rsidRPr="002A54D3">
              <w:rPr>
                <w:rFonts w:cstheme="minorHAnsi"/>
              </w:rPr>
              <w:t>), ascarids (</w:t>
            </w:r>
            <w:r w:rsidR="00835A5E" w:rsidRPr="002A54D3">
              <w:rPr>
                <w:rFonts w:cstheme="minorHAnsi"/>
                <w:i/>
                <w:iCs/>
              </w:rPr>
              <w:t>Parascaris equorum</w:t>
            </w:r>
            <w:r w:rsidR="00835A5E" w:rsidRPr="002A54D3">
              <w:rPr>
                <w:rFonts w:cstheme="minorHAnsi"/>
              </w:rPr>
              <w:t xml:space="preserve">), and for the control of arteritis caused by 4th stage larvae of </w:t>
            </w:r>
            <w:r w:rsidR="00835A5E" w:rsidRPr="002A54D3">
              <w:rPr>
                <w:rFonts w:cstheme="minorHAnsi"/>
                <w:i/>
                <w:iCs/>
              </w:rPr>
              <w:t xml:space="preserve">Strongylus vulgaris </w:t>
            </w:r>
            <w:r w:rsidR="00835A5E" w:rsidRPr="002A54D3">
              <w:rPr>
                <w:rFonts w:cstheme="minorHAnsi"/>
              </w:rPr>
              <w:t>in horses. For oral use in all horses, foals and ponies.</w:t>
            </w:r>
          </w:p>
          <w:p w14:paraId="360C54AF" w14:textId="77777777" w:rsidR="00E85080" w:rsidRPr="002A54D3" w:rsidRDefault="00E85080" w:rsidP="009F0711">
            <w:pPr>
              <w:pStyle w:val="ListParagraph"/>
              <w:ind w:left="0"/>
              <w:rPr>
                <w:rFonts w:cstheme="minorHAnsi"/>
                <w:i/>
              </w:rPr>
            </w:pPr>
          </w:p>
          <w:p w14:paraId="121983EF" w14:textId="77777777" w:rsidR="00E85080" w:rsidRPr="002A54D3" w:rsidRDefault="00E85080" w:rsidP="009F0711">
            <w:pPr>
              <w:rPr>
                <w:rFonts w:cstheme="minorHAnsi"/>
                <w:i/>
              </w:rPr>
            </w:pPr>
            <w:r w:rsidRPr="002A54D3">
              <w:rPr>
                <w:rFonts w:cstheme="minorHAnsi"/>
                <w:i/>
              </w:rPr>
              <w:t>Product benefits (bullets for Retailer website)</w:t>
            </w:r>
          </w:p>
          <w:p w14:paraId="208D939C" w14:textId="77777777" w:rsidR="00847A67" w:rsidRDefault="00847A67" w:rsidP="00CD1AAE">
            <w:pPr>
              <w:pStyle w:val="ListParagraph"/>
              <w:numPr>
                <w:ilvl w:val="0"/>
                <w:numId w:val="3"/>
              </w:numPr>
              <w:rPr>
                <w:rFonts w:cstheme="minorHAnsi"/>
              </w:rPr>
            </w:pPr>
            <w:r>
              <w:rPr>
                <w:rFonts w:cstheme="minorHAnsi"/>
              </w:rPr>
              <w:t>A</w:t>
            </w:r>
            <w:r w:rsidRPr="002A54D3">
              <w:rPr>
                <w:rFonts w:cstheme="minorHAnsi"/>
              </w:rPr>
              <w:t xml:space="preserve">pple-cinnamon flavor </w:t>
            </w:r>
          </w:p>
          <w:p w14:paraId="72649632" w14:textId="77777777" w:rsidR="00847A67" w:rsidRPr="002A54D3" w:rsidRDefault="00847A67" w:rsidP="00CD1AAE">
            <w:pPr>
              <w:pStyle w:val="ListParagraph"/>
              <w:numPr>
                <w:ilvl w:val="0"/>
                <w:numId w:val="3"/>
              </w:numPr>
              <w:rPr>
                <w:rFonts w:cstheme="minorHAnsi"/>
              </w:rPr>
            </w:pPr>
            <w:r>
              <w:rPr>
                <w:rFonts w:cstheme="minorHAnsi"/>
              </w:rPr>
              <w:t>Treats and controls ascarids in foals and weanlings at a dose of 4.6 mg/</w:t>
            </w:r>
            <w:proofErr w:type="spellStart"/>
            <w:r>
              <w:rPr>
                <w:rFonts w:cstheme="minorHAnsi"/>
              </w:rPr>
              <w:t>lb</w:t>
            </w:r>
            <w:proofErr w:type="spellEnd"/>
          </w:p>
          <w:p w14:paraId="17E2E3CB" w14:textId="77777777" w:rsidR="00847A67" w:rsidRDefault="00847A67" w:rsidP="00CD1AAE">
            <w:pPr>
              <w:pStyle w:val="ListParagraph"/>
              <w:numPr>
                <w:ilvl w:val="0"/>
                <w:numId w:val="3"/>
              </w:numPr>
              <w:rPr>
                <w:rFonts w:cstheme="minorHAnsi"/>
              </w:rPr>
            </w:pPr>
            <w:r>
              <w:rPr>
                <w:rFonts w:cstheme="minorHAnsi"/>
              </w:rPr>
              <w:t xml:space="preserve">Treats and controls encysted small red worms; pinworms; and larval </w:t>
            </w:r>
            <w:r>
              <w:rPr>
                <w:rFonts w:cstheme="minorHAnsi"/>
                <w:i/>
                <w:iCs/>
              </w:rPr>
              <w:t>S</w:t>
            </w:r>
            <w:r w:rsidRPr="00847A67">
              <w:rPr>
                <w:rFonts w:cstheme="minorHAnsi"/>
                <w:i/>
                <w:iCs/>
              </w:rPr>
              <w:t>trongylus vulgaris</w:t>
            </w:r>
            <w:r>
              <w:rPr>
                <w:rFonts w:cstheme="minorHAnsi"/>
              </w:rPr>
              <w:t>, a cause of arteritis</w:t>
            </w:r>
          </w:p>
          <w:p w14:paraId="76499E50" w14:textId="4F936A93" w:rsidR="00847A67" w:rsidRPr="00847A67" w:rsidRDefault="00847A67" w:rsidP="00CD1AAE">
            <w:pPr>
              <w:pStyle w:val="ListParagraph"/>
              <w:numPr>
                <w:ilvl w:val="0"/>
                <w:numId w:val="3"/>
              </w:numPr>
              <w:rPr>
                <w:rFonts w:cstheme="minorHAnsi"/>
                <w:color w:val="000000" w:themeColor="text1"/>
              </w:rPr>
            </w:pPr>
            <w:r w:rsidRPr="00847A67">
              <w:rPr>
                <w:rStyle w:val="Strong"/>
                <w:rFonts w:eastAsia="Times New Roman"/>
                <w:b w:val="0"/>
                <w:bCs w:val="0"/>
                <w:color w:val="000000" w:themeColor="text1"/>
              </w:rPr>
              <w:t>Unique Mode of Action</w:t>
            </w:r>
            <w:r w:rsidRPr="00847A67">
              <w:rPr>
                <w:rFonts w:eastAsia="Times New Roman"/>
                <w:color w:val="000000" w:themeColor="text1"/>
              </w:rPr>
              <w:t xml:space="preserve"> – the antiparasitic action of </w:t>
            </w:r>
            <w:r w:rsidR="00153FDB">
              <w:rPr>
                <w:rFonts w:eastAsia="Times New Roman"/>
                <w:color w:val="000000" w:themeColor="text1"/>
              </w:rPr>
              <w:t>SAFE-GUARD</w:t>
            </w:r>
            <w:r w:rsidRPr="00847A67">
              <w:rPr>
                <w:rFonts w:eastAsia="Times New Roman"/>
                <w:color w:val="000000" w:themeColor="text1"/>
              </w:rPr>
              <w:t xml:space="preserve"> (fenbendazole) Paste 10% is due to the inhibition of energy metabolism in the parasite</w:t>
            </w:r>
            <w:r w:rsidRPr="00847A67">
              <w:rPr>
                <w:rFonts w:eastAsia="Times New Roman"/>
                <w:color w:val="000000" w:themeColor="text1"/>
                <w:vertAlign w:val="superscript"/>
              </w:rPr>
              <w:t>1</w:t>
            </w:r>
          </w:p>
          <w:p w14:paraId="014B4C6A" w14:textId="77777777" w:rsidR="00847A67" w:rsidRPr="00847A67" w:rsidRDefault="00847A67" w:rsidP="00847A67">
            <w:pPr>
              <w:rPr>
                <w:rFonts w:cstheme="minorHAnsi"/>
                <w:color w:val="000000" w:themeColor="text1"/>
                <w:sz w:val="18"/>
                <w:szCs w:val="18"/>
              </w:rPr>
            </w:pPr>
            <w:r w:rsidRPr="00847A67">
              <w:rPr>
                <w:rFonts w:cstheme="minorHAnsi"/>
                <w:color w:val="000000" w:themeColor="text1"/>
                <w:sz w:val="18"/>
                <w:szCs w:val="18"/>
                <w:vertAlign w:val="superscript"/>
              </w:rPr>
              <w:t>1</w:t>
            </w:r>
            <w:r w:rsidRPr="00847A67">
              <w:rPr>
                <w:rFonts w:cstheme="minorHAnsi"/>
                <w:color w:val="000000" w:themeColor="text1"/>
                <w:sz w:val="18"/>
                <w:szCs w:val="18"/>
              </w:rPr>
              <w:t xml:space="preserve"> </w:t>
            </w:r>
            <w:r w:rsidRPr="00847A67">
              <w:rPr>
                <w:rFonts w:eastAsia="Times New Roman"/>
                <w:color w:val="000000" w:themeColor="text1"/>
                <w:sz w:val="18"/>
                <w:szCs w:val="18"/>
                <w:shd w:val="clear" w:color="auto" w:fill="FFFFFF"/>
              </w:rPr>
              <w:t>Lacey E. Mode of Action of Benzimidazoles. Parasitology Today, vol. 6, no. 4, 1990.</w:t>
            </w:r>
          </w:p>
          <w:p w14:paraId="6DE57A83" w14:textId="77777777" w:rsidR="00835A5E" w:rsidRPr="002A54D3" w:rsidRDefault="00835A5E" w:rsidP="00835A5E">
            <w:pPr>
              <w:rPr>
                <w:rFonts w:cstheme="minorHAnsi"/>
              </w:rPr>
            </w:pPr>
          </w:p>
          <w:p w14:paraId="3AEDA776" w14:textId="18180E33" w:rsidR="00835A5E" w:rsidRPr="002A54D3" w:rsidRDefault="00835A5E" w:rsidP="00835A5E">
            <w:pPr>
              <w:rPr>
                <w:rFonts w:cstheme="minorHAnsi"/>
              </w:rPr>
            </w:pPr>
            <w:r w:rsidRPr="002A54D3">
              <w:rPr>
                <w:rFonts w:cstheme="minorHAnsi"/>
              </w:rPr>
              <w:t>Dosing Information:</w:t>
            </w:r>
          </w:p>
          <w:p w14:paraId="4A3E1E20" w14:textId="07976266" w:rsidR="00835A5E" w:rsidRPr="002A54D3" w:rsidRDefault="00835A5E" w:rsidP="00CD1AAE">
            <w:pPr>
              <w:pStyle w:val="ListParagraph"/>
              <w:numPr>
                <w:ilvl w:val="0"/>
                <w:numId w:val="3"/>
              </w:numPr>
              <w:autoSpaceDE w:val="0"/>
              <w:autoSpaceDN w:val="0"/>
              <w:adjustRightInd w:val="0"/>
              <w:rPr>
                <w:rFonts w:cstheme="minorHAnsi"/>
              </w:rPr>
            </w:pPr>
            <w:r w:rsidRPr="002A54D3">
              <w:rPr>
                <w:rFonts w:cstheme="minorHAnsi"/>
                <w:color w:val="000000"/>
                <w:shd w:val="clear" w:color="auto" w:fill="FFFFFF"/>
              </w:rPr>
              <w:t>For the control of large strongyles, small strongyles, and pinworms, the recommended dose is 2.3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(5 mg/kg).</w:t>
            </w:r>
          </w:p>
          <w:p w14:paraId="4C169DAC" w14:textId="72A7940D" w:rsidR="00835A5E" w:rsidRPr="002A54D3" w:rsidRDefault="00835A5E" w:rsidP="00CD1AAE">
            <w:pPr>
              <w:pStyle w:val="ListParagraph"/>
              <w:numPr>
                <w:ilvl w:val="0"/>
                <w:numId w:val="3"/>
              </w:numPr>
              <w:autoSpaceDE w:val="0"/>
              <w:autoSpaceDN w:val="0"/>
              <w:adjustRightInd w:val="0"/>
              <w:rPr>
                <w:rFonts w:cstheme="minorHAnsi"/>
              </w:rPr>
            </w:pPr>
            <w:r w:rsidRPr="002A54D3">
              <w:rPr>
                <w:rFonts w:cstheme="minorHAnsi"/>
              </w:rPr>
              <w:t xml:space="preserve">For foals &amp; weanlings less than 18 months of age where ascarids are a common problem: </w:t>
            </w:r>
            <w:r w:rsidRPr="002A54D3">
              <w:rPr>
                <w:rFonts w:cstheme="minorHAnsi"/>
                <w:color w:val="000000"/>
                <w:shd w:val="clear" w:color="auto" w:fill="FFFFFF"/>
              </w:rPr>
              <w:t>the recommended dose is 4.6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(10 mg/kg); one syringe will deworm a 550 </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horse.</w:t>
            </w:r>
          </w:p>
          <w:p w14:paraId="1AABA67B" w14:textId="4E4537BE" w:rsidR="00835A5E" w:rsidRPr="002A54D3" w:rsidRDefault="00835A5E" w:rsidP="00CD1AAE">
            <w:pPr>
              <w:pStyle w:val="ListParagraph"/>
              <w:numPr>
                <w:ilvl w:val="0"/>
                <w:numId w:val="3"/>
              </w:numPr>
              <w:rPr>
                <w:rFonts w:cstheme="minorHAnsi"/>
              </w:rPr>
            </w:pPr>
            <w:r w:rsidRPr="002A54D3">
              <w:rPr>
                <w:rFonts w:cstheme="minorHAnsi"/>
                <w:color w:val="000000"/>
                <w:shd w:val="clear" w:color="auto" w:fill="FFFFFF"/>
              </w:rPr>
              <w:t>For control of hypobiotic (encysted early 3rd stage), late 3rd stage, and 4th stage cyathostome larvae, 4th stage </w:t>
            </w:r>
            <w:r w:rsidRPr="002A54D3">
              <w:rPr>
                <w:rStyle w:val="Emphasis"/>
                <w:rFonts w:cstheme="minorHAnsi"/>
                <w:color w:val="000000"/>
                <w:shd w:val="clear" w:color="auto" w:fill="FFFFFF"/>
              </w:rPr>
              <w:t>Strongylus vulgaris</w:t>
            </w:r>
            <w:r w:rsidRPr="002A54D3">
              <w:rPr>
                <w:rFonts w:cstheme="minorHAnsi"/>
                <w:color w:val="000000"/>
                <w:shd w:val="clear" w:color="auto" w:fill="FFFFFF"/>
              </w:rPr>
              <w:t> larvae, the recommended dose is 4.6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(10 mg/kg) daily for 5 consecutive days; administer one syringe for each 550 </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body weight per day.</w:t>
            </w:r>
          </w:p>
          <w:p w14:paraId="461E6BBD" w14:textId="77777777" w:rsidR="00835A5E" w:rsidRPr="002A54D3" w:rsidRDefault="00835A5E" w:rsidP="00CD1AAE">
            <w:pPr>
              <w:pStyle w:val="ListParagraph"/>
              <w:numPr>
                <w:ilvl w:val="0"/>
                <w:numId w:val="3"/>
              </w:numPr>
              <w:rPr>
                <w:rFonts w:cstheme="minorHAnsi"/>
              </w:rPr>
            </w:pPr>
            <w:r w:rsidRPr="002A54D3">
              <w:rPr>
                <w:rFonts w:cstheme="minorHAnsi"/>
              </w:rPr>
              <w:t>Do not underdose. Ensure each horse receives a complete dose based on a current body weight. Underdosing may result in ineffective treatment and encourage the development of parasite resistance. Refer to the carton for dosage and full directions for use.</w:t>
            </w:r>
          </w:p>
          <w:p w14:paraId="39D18AE3" w14:textId="77777777" w:rsidR="00E85080" w:rsidRPr="002A54D3" w:rsidRDefault="00E85080" w:rsidP="009F0711">
            <w:pPr>
              <w:rPr>
                <w:rFonts w:cstheme="minorHAnsi"/>
              </w:rPr>
            </w:pPr>
          </w:p>
          <w:p w14:paraId="36CA0ACB" w14:textId="667F7C67" w:rsidR="00E85080" w:rsidRPr="002A54D3" w:rsidRDefault="00E85080" w:rsidP="009F0711">
            <w:pPr>
              <w:pStyle w:val="ListParagraph"/>
              <w:ind w:left="0"/>
              <w:rPr>
                <w:rFonts w:cstheme="minorHAnsi"/>
              </w:rPr>
            </w:pPr>
            <w:r w:rsidRPr="00C56526">
              <w:rPr>
                <w:rFonts w:cstheme="minorHAnsi"/>
                <w:b/>
                <w:bCs/>
              </w:rPr>
              <w:t>IMPORTANT SAFETY INFORMATION:</w:t>
            </w:r>
            <w:r w:rsidRPr="002A54D3">
              <w:rPr>
                <w:rFonts w:cstheme="minorHAnsi"/>
              </w:rPr>
              <w:t xml:space="preserve">  </w:t>
            </w:r>
            <w:r w:rsidR="00835A5E" w:rsidRPr="002A54D3">
              <w:rPr>
                <w:rFonts w:cstheme="minorHAnsi"/>
              </w:rPr>
              <w:t xml:space="preserve">Not for use in humans. Keep out of reach of children. </w:t>
            </w:r>
            <w:r w:rsidRPr="002A54D3">
              <w:rPr>
                <w:rFonts w:cstheme="minorHAnsi"/>
              </w:rPr>
              <w:t xml:space="preserve">Consult your veterinarian for assistance in the diagnosis, treatment and control of parasitism. Do not use in horses intended for human consumption. </w:t>
            </w:r>
          </w:p>
          <w:p w14:paraId="000CEFE8" w14:textId="77777777" w:rsidR="00E85080" w:rsidRPr="002A54D3" w:rsidRDefault="00E85080" w:rsidP="009F0711">
            <w:pPr>
              <w:rPr>
                <w:rFonts w:cstheme="minorHAnsi"/>
              </w:rPr>
            </w:pPr>
          </w:p>
          <w:p w14:paraId="0B5C48D0" w14:textId="77777777" w:rsidR="00E85080" w:rsidRPr="002A54D3" w:rsidRDefault="00E85080" w:rsidP="009F0711">
            <w:pPr>
              <w:pStyle w:val="ListParagraph"/>
              <w:ind w:left="0"/>
              <w:rPr>
                <w:rFonts w:cstheme="minorHAnsi"/>
                <w:i/>
              </w:rPr>
            </w:pPr>
            <w:r w:rsidRPr="002A54D3">
              <w:rPr>
                <w:rFonts w:cstheme="minorHAnsi"/>
                <w:i/>
              </w:rPr>
              <w:t>Key words</w:t>
            </w:r>
          </w:p>
          <w:p w14:paraId="6E620982" w14:textId="77777777" w:rsidR="00E85080" w:rsidRPr="002A54D3" w:rsidRDefault="00E85080" w:rsidP="009F0711">
            <w:pPr>
              <w:pStyle w:val="ListParagraph"/>
              <w:ind w:left="0"/>
              <w:rPr>
                <w:rFonts w:cstheme="minorHAnsi"/>
                <w:b/>
              </w:rPr>
            </w:pPr>
            <w:r w:rsidRPr="002A54D3">
              <w:rPr>
                <w:rFonts w:cstheme="minorHAnsi"/>
              </w:rPr>
              <w:t>SAFE-GUARD®, SAFE-GUARD, Safe-Guard® Paste 10%, fenbendazole, strongyles, pinworms, ascarids, roundworms, arteritis, Safe-Guard, SafeGuard, Safe Guard</w:t>
            </w:r>
          </w:p>
          <w:p w14:paraId="4213C5B1" w14:textId="22D0DF05" w:rsidR="00835A5E" w:rsidRPr="002A54D3" w:rsidRDefault="00835A5E" w:rsidP="00336A34">
            <w:pPr>
              <w:pStyle w:val="ListParagraph"/>
              <w:ind w:left="0"/>
              <w:rPr>
                <w:rFonts w:cstheme="minorHAnsi"/>
                <w:b/>
              </w:rPr>
            </w:pPr>
          </w:p>
        </w:tc>
      </w:tr>
      <w:tr w:rsidR="00E85080" w:rsidRPr="002A54D3" w14:paraId="05E1DFE3" w14:textId="77777777" w:rsidTr="00E85080">
        <w:tc>
          <w:tcPr>
            <w:tcW w:w="10350" w:type="dxa"/>
            <w:tcBorders>
              <w:bottom w:val="single" w:sz="4" w:space="0" w:color="auto"/>
            </w:tcBorders>
          </w:tcPr>
          <w:p w14:paraId="47516FD5" w14:textId="77777777" w:rsidR="00E85080" w:rsidRPr="002A54D3" w:rsidRDefault="00E85080" w:rsidP="009F0711">
            <w:pPr>
              <w:pStyle w:val="ListParagraph"/>
              <w:ind w:left="0"/>
              <w:rPr>
                <w:rFonts w:cstheme="minorHAnsi"/>
                <w:b/>
              </w:rPr>
            </w:pPr>
          </w:p>
          <w:p w14:paraId="1A3C294E" w14:textId="77777777" w:rsidR="00E85080" w:rsidRPr="002A54D3" w:rsidRDefault="00E85080" w:rsidP="009F0711">
            <w:pPr>
              <w:pStyle w:val="ListParagraph"/>
              <w:ind w:left="0"/>
              <w:rPr>
                <w:rFonts w:cstheme="minorHAnsi"/>
                <w:b/>
              </w:rPr>
            </w:pPr>
            <w:r w:rsidRPr="002A54D3">
              <w:rPr>
                <w:rFonts w:cstheme="minorHAnsi"/>
                <w:b/>
              </w:rPr>
              <w:t>SAFE-GUARD® (fenbendazole) 92 gm Paste 10%</w:t>
            </w:r>
          </w:p>
          <w:p w14:paraId="11095088" w14:textId="77777777" w:rsidR="00E85080" w:rsidRPr="002A54D3" w:rsidRDefault="00E85080" w:rsidP="009F0711">
            <w:pPr>
              <w:pStyle w:val="ListParagraph"/>
              <w:ind w:left="0"/>
              <w:rPr>
                <w:rFonts w:cstheme="minorHAnsi"/>
                <w:i/>
              </w:rPr>
            </w:pPr>
          </w:p>
          <w:p w14:paraId="2D6337EA" w14:textId="77777777" w:rsidR="00E85080" w:rsidRPr="002A54D3" w:rsidRDefault="00E85080" w:rsidP="009F0711">
            <w:pPr>
              <w:pStyle w:val="ListParagraph"/>
              <w:ind w:left="0"/>
              <w:rPr>
                <w:rFonts w:cstheme="minorHAnsi"/>
                <w:i/>
              </w:rPr>
            </w:pPr>
            <w:r w:rsidRPr="002A54D3">
              <w:rPr>
                <w:rFonts w:cstheme="minorHAnsi"/>
                <w:i/>
              </w:rPr>
              <w:t>Product description</w:t>
            </w:r>
          </w:p>
          <w:p w14:paraId="5264E2ED" w14:textId="7B65C4D0" w:rsidR="00E85080" w:rsidRPr="002A54D3" w:rsidRDefault="00E85080" w:rsidP="005D3721">
            <w:pPr>
              <w:autoSpaceDE w:val="0"/>
              <w:autoSpaceDN w:val="0"/>
              <w:adjustRightInd w:val="0"/>
              <w:rPr>
                <w:rFonts w:cstheme="minorHAnsi"/>
              </w:rPr>
            </w:pPr>
            <w:r w:rsidRPr="002A54D3">
              <w:rPr>
                <w:rFonts w:cstheme="minorHAnsi"/>
              </w:rPr>
              <w:t xml:space="preserve">SAFE-GUARD® (fenbendazole) Paste 10% is </w:t>
            </w:r>
            <w:r w:rsidR="005D3721" w:rsidRPr="002A54D3">
              <w:rPr>
                <w:rFonts w:cstheme="minorHAnsi"/>
              </w:rPr>
              <w:t>indicated for the treatment and control of large strongyles (</w:t>
            </w:r>
            <w:r w:rsidR="005D3721" w:rsidRPr="002A54D3">
              <w:rPr>
                <w:rFonts w:cstheme="minorHAnsi"/>
                <w:i/>
                <w:iCs/>
              </w:rPr>
              <w:t>Strongylus edentatus, S. equinus, S. vulgaris</w:t>
            </w:r>
            <w:r w:rsidR="005D3721" w:rsidRPr="002A54D3">
              <w:rPr>
                <w:rFonts w:cstheme="minorHAnsi"/>
              </w:rPr>
              <w:t>), encysted early 3rd stage (hypobiotic), late 3</w:t>
            </w:r>
            <w:r w:rsidR="005D3721" w:rsidRPr="002A54D3">
              <w:rPr>
                <w:rFonts w:cstheme="minorHAnsi"/>
                <w:vertAlign w:val="superscript"/>
              </w:rPr>
              <w:t>rd</w:t>
            </w:r>
            <w:r w:rsidR="005D3721" w:rsidRPr="002A54D3">
              <w:rPr>
                <w:rFonts w:cstheme="minorHAnsi"/>
              </w:rPr>
              <w:t xml:space="preserve"> stage and 4th stage cyathostome larvae, small strongyles, pinworms (</w:t>
            </w:r>
            <w:r w:rsidR="005D3721" w:rsidRPr="002A54D3">
              <w:rPr>
                <w:rFonts w:cstheme="minorHAnsi"/>
                <w:i/>
                <w:iCs/>
              </w:rPr>
              <w:t>Oxyuris equi</w:t>
            </w:r>
            <w:r w:rsidR="005D3721" w:rsidRPr="002A54D3">
              <w:rPr>
                <w:rFonts w:cstheme="minorHAnsi"/>
              </w:rPr>
              <w:t>), ascarids (</w:t>
            </w:r>
            <w:r w:rsidR="005D3721" w:rsidRPr="002A54D3">
              <w:rPr>
                <w:rFonts w:cstheme="minorHAnsi"/>
                <w:i/>
                <w:iCs/>
              </w:rPr>
              <w:t>Parascaris equorum</w:t>
            </w:r>
            <w:r w:rsidR="005D3721" w:rsidRPr="002A54D3">
              <w:rPr>
                <w:rFonts w:cstheme="minorHAnsi"/>
              </w:rPr>
              <w:t xml:space="preserve">), and for the control of arteritis caused by 4th stage larvae of </w:t>
            </w:r>
            <w:r w:rsidR="005D3721" w:rsidRPr="002A54D3">
              <w:rPr>
                <w:rFonts w:cstheme="minorHAnsi"/>
                <w:i/>
                <w:iCs/>
              </w:rPr>
              <w:t xml:space="preserve">Strongylus vulgaris </w:t>
            </w:r>
            <w:r w:rsidR="005D3721" w:rsidRPr="002A54D3">
              <w:rPr>
                <w:rFonts w:cstheme="minorHAnsi"/>
              </w:rPr>
              <w:t>in horses. For oral use in all horses, foals and ponies.</w:t>
            </w:r>
          </w:p>
          <w:p w14:paraId="03626C8D" w14:textId="77777777" w:rsidR="00E85080" w:rsidRPr="002A54D3" w:rsidRDefault="00E85080" w:rsidP="009F0711">
            <w:pPr>
              <w:pStyle w:val="ListParagraph"/>
              <w:ind w:left="0"/>
              <w:rPr>
                <w:rFonts w:cstheme="minorHAnsi"/>
              </w:rPr>
            </w:pPr>
          </w:p>
          <w:p w14:paraId="71EB1784" w14:textId="77777777" w:rsidR="00E85080" w:rsidRPr="002A54D3" w:rsidRDefault="00E85080" w:rsidP="009F0711">
            <w:pPr>
              <w:rPr>
                <w:rFonts w:cstheme="minorHAnsi"/>
                <w:i/>
              </w:rPr>
            </w:pPr>
            <w:r w:rsidRPr="002A54D3">
              <w:rPr>
                <w:rFonts w:cstheme="minorHAnsi"/>
                <w:i/>
              </w:rPr>
              <w:t>Product benefits (bullets for Retailer website)</w:t>
            </w:r>
          </w:p>
          <w:p w14:paraId="7B766B68" w14:textId="77777777" w:rsidR="00B50461" w:rsidRDefault="00B50461" w:rsidP="00B50461">
            <w:pPr>
              <w:pStyle w:val="ListParagraph"/>
              <w:numPr>
                <w:ilvl w:val="0"/>
                <w:numId w:val="7"/>
              </w:numPr>
              <w:rPr>
                <w:rFonts w:cstheme="minorHAnsi"/>
              </w:rPr>
            </w:pPr>
            <w:r>
              <w:rPr>
                <w:rFonts w:cstheme="minorHAnsi"/>
              </w:rPr>
              <w:t>A</w:t>
            </w:r>
            <w:r w:rsidRPr="002A54D3">
              <w:rPr>
                <w:rFonts w:cstheme="minorHAnsi"/>
              </w:rPr>
              <w:t xml:space="preserve">pple-cinnamon flavor </w:t>
            </w:r>
          </w:p>
          <w:p w14:paraId="090368B3" w14:textId="77777777" w:rsidR="00B50461" w:rsidRPr="002A54D3" w:rsidRDefault="00B50461" w:rsidP="00B50461">
            <w:pPr>
              <w:pStyle w:val="ListParagraph"/>
              <w:numPr>
                <w:ilvl w:val="0"/>
                <w:numId w:val="7"/>
              </w:numPr>
              <w:rPr>
                <w:rFonts w:cstheme="minorHAnsi"/>
              </w:rPr>
            </w:pPr>
            <w:r>
              <w:rPr>
                <w:rFonts w:cstheme="minorHAnsi"/>
              </w:rPr>
              <w:lastRenderedPageBreak/>
              <w:t>Treats and controls ascarids in foals and weanlings at a dose of 4.6 mg/</w:t>
            </w:r>
            <w:proofErr w:type="spellStart"/>
            <w:r>
              <w:rPr>
                <w:rFonts w:cstheme="minorHAnsi"/>
              </w:rPr>
              <w:t>lb</w:t>
            </w:r>
            <w:proofErr w:type="spellEnd"/>
          </w:p>
          <w:p w14:paraId="62D44E80" w14:textId="77777777" w:rsidR="00B50461" w:rsidRDefault="00B50461" w:rsidP="00B50461">
            <w:pPr>
              <w:pStyle w:val="ListParagraph"/>
              <w:numPr>
                <w:ilvl w:val="0"/>
                <w:numId w:val="7"/>
              </w:numPr>
              <w:rPr>
                <w:rFonts w:cstheme="minorHAnsi"/>
              </w:rPr>
            </w:pPr>
            <w:r>
              <w:rPr>
                <w:rFonts w:cstheme="minorHAnsi"/>
              </w:rPr>
              <w:t xml:space="preserve">Treats and controls encysted small red worms; pinworms; and larval </w:t>
            </w:r>
            <w:r>
              <w:rPr>
                <w:rFonts w:cstheme="minorHAnsi"/>
                <w:i/>
                <w:iCs/>
              </w:rPr>
              <w:t>S</w:t>
            </w:r>
            <w:r w:rsidRPr="00847A67">
              <w:rPr>
                <w:rFonts w:cstheme="minorHAnsi"/>
                <w:i/>
                <w:iCs/>
              </w:rPr>
              <w:t>trongylus vulgaris</w:t>
            </w:r>
            <w:r>
              <w:rPr>
                <w:rFonts w:cstheme="minorHAnsi"/>
              </w:rPr>
              <w:t>, a cause of arteritis</w:t>
            </w:r>
          </w:p>
          <w:p w14:paraId="05D47C8A" w14:textId="4E5F1E5B" w:rsidR="00B50461" w:rsidRPr="00847A67" w:rsidRDefault="00B50461" w:rsidP="00B50461">
            <w:pPr>
              <w:pStyle w:val="ListParagraph"/>
              <w:numPr>
                <w:ilvl w:val="0"/>
                <w:numId w:val="7"/>
              </w:numPr>
              <w:rPr>
                <w:rFonts w:cstheme="minorHAnsi"/>
                <w:color w:val="000000" w:themeColor="text1"/>
              </w:rPr>
            </w:pPr>
            <w:r w:rsidRPr="00847A67">
              <w:rPr>
                <w:rStyle w:val="Strong"/>
                <w:rFonts w:eastAsia="Times New Roman"/>
                <w:b w:val="0"/>
                <w:bCs w:val="0"/>
                <w:color w:val="000000" w:themeColor="text1"/>
              </w:rPr>
              <w:t>Unique Mode of Action</w:t>
            </w:r>
            <w:r w:rsidRPr="00847A67">
              <w:rPr>
                <w:rFonts w:eastAsia="Times New Roman"/>
                <w:color w:val="000000" w:themeColor="text1"/>
              </w:rPr>
              <w:t xml:space="preserve"> – the antiparasitic action of </w:t>
            </w:r>
            <w:r w:rsidR="00153FDB">
              <w:rPr>
                <w:rFonts w:eastAsia="Times New Roman"/>
                <w:color w:val="000000" w:themeColor="text1"/>
              </w:rPr>
              <w:t>SAFE-GUARD</w:t>
            </w:r>
            <w:r w:rsidRPr="00847A67">
              <w:rPr>
                <w:rFonts w:eastAsia="Times New Roman"/>
                <w:color w:val="000000" w:themeColor="text1"/>
              </w:rPr>
              <w:t xml:space="preserve"> (fenbendazole) Paste 10% is due to the inhibition of energy metabolism in the parasite</w:t>
            </w:r>
            <w:r w:rsidRPr="00847A67">
              <w:rPr>
                <w:rFonts w:eastAsia="Times New Roman"/>
                <w:color w:val="000000" w:themeColor="text1"/>
                <w:vertAlign w:val="superscript"/>
              </w:rPr>
              <w:t>1</w:t>
            </w:r>
          </w:p>
          <w:p w14:paraId="3647EE4E" w14:textId="43BA6D29" w:rsidR="00E85080" w:rsidRPr="002A54D3" w:rsidRDefault="00B50461" w:rsidP="00B50461">
            <w:pPr>
              <w:pStyle w:val="ListParagraph"/>
              <w:ind w:left="0"/>
              <w:rPr>
                <w:rFonts w:cstheme="minorHAnsi"/>
                <w:i/>
              </w:rPr>
            </w:pPr>
            <w:r w:rsidRPr="00847A67">
              <w:rPr>
                <w:rFonts w:cstheme="minorHAnsi"/>
                <w:color w:val="000000" w:themeColor="text1"/>
                <w:sz w:val="18"/>
                <w:szCs w:val="18"/>
                <w:vertAlign w:val="superscript"/>
              </w:rPr>
              <w:t>1</w:t>
            </w:r>
            <w:r w:rsidRPr="00847A67">
              <w:rPr>
                <w:rFonts w:cstheme="minorHAnsi"/>
                <w:color w:val="000000" w:themeColor="text1"/>
                <w:sz w:val="18"/>
                <w:szCs w:val="18"/>
              </w:rPr>
              <w:t xml:space="preserve"> </w:t>
            </w:r>
            <w:r w:rsidRPr="00847A67">
              <w:rPr>
                <w:rFonts w:eastAsia="Times New Roman"/>
                <w:color w:val="000000" w:themeColor="text1"/>
                <w:sz w:val="18"/>
                <w:szCs w:val="18"/>
                <w:shd w:val="clear" w:color="auto" w:fill="FFFFFF"/>
              </w:rPr>
              <w:t>Lacey E. Mode of Action of Benzimidazoles. Parasitology Today, vol. 6, no. 4, 1990</w:t>
            </w:r>
          </w:p>
          <w:p w14:paraId="63DE4D03" w14:textId="77777777" w:rsidR="00B50461" w:rsidRDefault="00B50461" w:rsidP="00FD3F8F">
            <w:pPr>
              <w:rPr>
                <w:rFonts w:cstheme="minorHAnsi"/>
              </w:rPr>
            </w:pPr>
          </w:p>
          <w:p w14:paraId="63D0334A" w14:textId="61FA8C1E" w:rsidR="00FD3F8F" w:rsidRPr="002A54D3" w:rsidRDefault="00FD3F8F" w:rsidP="00FD3F8F">
            <w:pPr>
              <w:rPr>
                <w:rFonts w:cstheme="minorHAnsi"/>
              </w:rPr>
            </w:pPr>
            <w:r w:rsidRPr="002A54D3">
              <w:rPr>
                <w:rFonts w:cstheme="minorHAnsi"/>
              </w:rPr>
              <w:t>Dosing Information:</w:t>
            </w:r>
          </w:p>
          <w:p w14:paraId="454C8249" w14:textId="61BFD030" w:rsidR="00FD3F8F" w:rsidRPr="002A54D3" w:rsidRDefault="00FD3F8F" w:rsidP="00B50461">
            <w:pPr>
              <w:pStyle w:val="ListParagraph"/>
              <w:numPr>
                <w:ilvl w:val="0"/>
                <w:numId w:val="7"/>
              </w:numPr>
              <w:autoSpaceDE w:val="0"/>
              <w:autoSpaceDN w:val="0"/>
              <w:adjustRightInd w:val="0"/>
              <w:rPr>
                <w:rFonts w:cstheme="minorHAnsi"/>
              </w:rPr>
            </w:pPr>
            <w:r w:rsidRPr="002A54D3">
              <w:rPr>
                <w:rFonts w:cstheme="minorHAnsi"/>
                <w:color w:val="000000"/>
                <w:shd w:val="clear" w:color="auto" w:fill="FFFFFF"/>
              </w:rPr>
              <w:t>For the control of large strongyles, small strongyles, and pinworms, the recommended dose is 2.3 mg/</w:t>
            </w:r>
            <w:proofErr w:type="spellStart"/>
            <w:r w:rsidR="000445F8" w:rsidRPr="002A54D3">
              <w:rPr>
                <w:rFonts w:cstheme="minorHAnsi"/>
                <w:color w:val="000000"/>
                <w:shd w:val="clear" w:color="auto" w:fill="FFFFFF"/>
              </w:rPr>
              <w:t>lb</w:t>
            </w:r>
            <w:proofErr w:type="spellEnd"/>
            <w:r w:rsidRPr="002A54D3">
              <w:rPr>
                <w:rFonts w:cstheme="minorHAnsi"/>
                <w:color w:val="000000"/>
                <w:shd w:val="clear" w:color="auto" w:fill="FFFFFF"/>
              </w:rPr>
              <w:t xml:space="preserve"> (5 mg/kg).  Each mark on the plunger rod corresponds to a dose of 2.3 mg/</w:t>
            </w:r>
            <w:proofErr w:type="spellStart"/>
            <w:r w:rsidR="000445F8" w:rsidRPr="002A54D3">
              <w:rPr>
                <w:rFonts w:cstheme="minorHAnsi"/>
                <w:color w:val="000000"/>
                <w:shd w:val="clear" w:color="auto" w:fill="FFFFFF"/>
              </w:rPr>
              <w:t>lb</w:t>
            </w:r>
            <w:proofErr w:type="spellEnd"/>
            <w:r w:rsidRPr="002A54D3">
              <w:rPr>
                <w:rFonts w:cstheme="minorHAnsi"/>
                <w:color w:val="000000"/>
                <w:shd w:val="clear" w:color="auto" w:fill="FFFFFF"/>
              </w:rPr>
              <w:t xml:space="preserve"> (5 mg/kg) for 250 </w:t>
            </w:r>
            <w:proofErr w:type="spellStart"/>
            <w:r w:rsidR="000445F8" w:rsidRPr="002A54D3">
              <w:rPr>
                <w:rFonts w:cstheme="minorHAnsi"/>
                <w:color w:val="000000"/>
                <w:shd w:val="clear" w:color="auto" w:fill="FFFFFF"/>
              </w:rPr>
              <w:t>lb</w:t>
            </w:r>
            <w:proofErr w:type="spellEnd"/>
            <w:r w:rsidRPr="002A54D3">
              <w:rPr>
                <w:rFonts w:cstheme="minorHAnsi"/>
                <w:color w:val="000000"/>
                <w:shd w:val="clear" w:color="auto" w:fill="FFFFFF"/>
              </w:rPr>
              <w:t xml:space="preserve"> body weight.</w:t>
            </w:r>
          </w:p>
          <w:p w14:paraId="7ABD992C" w14:textId="7B53549C" w:rsidR="00FD3F8F" w:rsidRPr="002A54D3" w:rsidRDefault="00FD3F8F" w:rsidP="00B50461">
            <w:pPr>
              <w:pStyle w:val="ListParagraph"/>
              <w:numPr>
                <w:ilvl w:val="0"/>
                <w:numId w:val="7"/>
              </w:numPr>
              <w:rPr>
                <w:rFonts w:cstheme="minorHAnsi"/>
              </w:rPr>
            </w:pPr>
            <w:r w:rsidRPr="002A54D3">
              <w:rPr>
                <w:rFonts w:cstheme="minorHAnsi"/>
                <w:color w:val="000000"/>
                <w:shd w:val="clear" w:color="auto" w:fill="FFFFFF"/>
              </w:rPr>
              <w:t>For foals and weanlings less than 18 months of age where ascarids are a common problem: the recommended dose of 4.6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(10 mg/kg), or two marks, will deworm a 250 </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horse.</w:t>
            </w:r>
          </w:p>
          <w:p w14:paraId="6249822E" w14:textId="647AA715" w:rsidR="00FD3F8F" w:rsidRPr="002A54D3" w:rsidRDefault="00FD3F8F" w:rsidP="00B50461">
            <w:pPr>
              <w:pStyle w:val="ListParagraph"/>
              <w:numPr>
                <w:ilvl w:val="0"/>
                <w:numId w:val="7"/>
              </w:numPr>
              <w:rPr>
                <w:rFonts w:cstheme="minorHAnsi"/>
              </w:rPr>
            </w:pPr>
            <w:r w:rsidRPr="002A54D3">
              <w:rPr>
                <w:rFonts w:cstheme="minorHAnsi"/>
                <w:color w:val="000000"/>
                <w:shd w:val="clear" w:color="auto" w:fill="FFFFFF"/>
              </w:rPr>
              <w:t>For control of hypobiotic (encysted early 3rd stage), late 3rd stage, and 4th stage cyathostome larvae, as well as 4th stage </w:t>
            </w:r>
            <w:r w:rsidRPr="002A54D3">
              <w:rPr>
                <w:rStyle w:val="Emphasis"/>
                <w:rFonts w:cstheme="minorHAnsi"/>
                <w:color w:val="000000"/>
                <w:shd w:val="clear" w:color="auto" w:fill="FFFFFF"/>
              </w:rPr>
              <w:t>Strongylus vulgaris</w:t>
            </w:r>
            <w:r w:rsidRPr="002A54D3">
              <w:rPr>
                <w:rFonts w:cstheme="minorHAnsi"/>
                <w:color w:val="000000"/>
                <w:shd w:val="clear" w:color="auto" w:fill="FFFFFF"/>
              </w:rPr>
              <w:t> larvae, the recommended dose is 4.6 mg/</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(10 mg/kg) daily for 5 consecutive days; administer two marks for each 250 </w:t>
            </w:r>
            <w:proofErr w:type="spellStart"/>
            <w:r w:rsidRPr="002A54D3">
              <w:rPr>
                <w:rFonts w:cstheme="minorHAnsi"/>
                <w:color w:val="000000"/>
                <w:shd w:val="clear" w:color="auto" w:fill="FFFFFF"/>
              </w:rPr>
              <w:t>lb</w:t>
            </w:r>
            <w:proofErr w:type="spellEnd"/>
            <w:r w:rsidRPr="002A54D3">
              <w:rPr>
                <w:rFonts w:cstheme="minorHAnsi"/>
                <w:color w:val="000000"/>
                <w:shd w:val="clear" w:color="auto" w:fill="FFFFFF"/>
              </w:rPr>
              <w:t xml:space="preserve"> body weight per day.</w:t>
            </w:r>
          </w:p>
          <w:p w14:paraId="18B746CE" w14:textId="0722EF78" w:rsidR="00FD3F8F" w:rsidRPr="002A54D3" w:rsidRDefault="00FD3F8F" w:rsidP="00B50461">
            <w:pPr>
              <w:pStyle w:val="ListParagraph"/>
              <w:numPr>
                <w:ilvl w:val="0"/>
                <w:numId w:val="7"/>
              </w:numPr>
              <w:rPr>
                <w:rFonts w:cstheme="minorHAnsi"/>
              </w:rPr>
            </w:pPr>
            <w:r w:rsidRPr="002A54D3">
              <w:rPr>
                <w:rFonts w:cstheme="minorHAnsi"/>
              </w:rPr>
              <w:t>Do not underdose. Ensure each horse receives a complete dose based on a current body weight. Underdosing may result in ineffective treatment and encourage the development of parasite resistance. Refer to the carton for dosage and full directions for use.</w:t>
            </w:r>
          </w:p>
          <w:p w14:paraId="05352B71" w14:textId="77777777" w:rsidR="00FD3F8F" w:rsidRPr="002A54D3" w:rsidRDefault="00FD3F8F" w:rsidP="009F0711">
            <w:pPr>
              <w:pStyle w:val="ListParagraph"/>
              <w:ind w:left="0"/>
              <w:rPr>
                <w:rFonts w:cstheme="minorHAnsi"/>
                <w:i/>
              </w:rPr>
            </w:pPr>
          </w:p>
          <w:p w14:paraId="008DF76A" w14:textId="48DDC5F9" w:rsidR="00E85080" w:rsidRPr="002A54D3" w:rsidRDefault="00E85080" w:rsidP="009F0711">
            <w:pPr>
              <w:pStyle w:val="ListParagraph"/>
              <w:ind w:left="0"/>
              <w:rPr>
                <w:rFonts w:cstheme="minorHAnsi"/>
              </w:rPr>
            </w:pPr>
            <w:r w:rsidRPr="00C56526">
              <w:rPr>
                <w:rFonts w:cstheme="minorHAnsi"/>
                <w:b/>
                <w:bCs/>
              </w:rPr>
              <w:t>IMPORTANT SAFETY INFORMATION:</w:t>
            </w:r>
            <w:r w:rsidRPr="002A54D3">
              <w:rPr>
                <w:rFonts w:cstheme="minorHAnsi"/>
              </w:rPr>
              <w:t xml:space="preserve">  </w:t>
            </w:r>
            <w:r w:rsidR="005D3721" w:rsidRPr="002A54D3">
              <w:rPr>
                <w:rFonts w:cstheme="minorHAnsi"/>
              </w:rPr>
              <w:t>Not for use in humans. Keep out of reach of children. Consult your veterinarian for assistance in the diagnosis, treatment and control of parasitism. Do not use in horses intended for human consumption.</w:t>
            </w:r>
          </w:p>
          <w:p w14:paraId="61593F26" w14:textId="77777777" w:rsidR="00E85080" w:rsidRPr="002A54D3" w:rsidRDefault="00E85080" w:rsidP="009F0711">
            <w:pPr>
              <w:pStyle w:val="ListParagraph"/>
              <w:ind w:left="0"/>
              <w:rPr>
                <w:rFonts w:cstheme="minorHAnsi"/>
                <w:i/>
              </w:rPr>
            </w:pPr>
          </w:p>
          <w:p w14:paraId="37D88400" w14:textId="77777777" w:rsidR="00E85080" w:rsidRPr="002A54D3" w:rsidRDefault="00E85080" w:rsidP="009F0711">
            <w:pPr>
              <w:pStyle w:val="ListParagraph"/>
              <w:ind w:left="0"/>
              <w:rPr>
                <w:rFonts w:cstheme="minorHAnsi"/>
                <w:i/>
              </w:rPr>
            </w:pPr>
            <w:r w:rsidRPr="002A54D3">
              <w:rPr>
                <w:rFonts w:cstheme="minorHAnsi"/>
                <w:i/>
              </w:rPr>
              <w:t>Key words</w:t>
            </w:r>
          </w:p>
          <w:p w14:paraId="084CC839" w14:textId="06F61CBE" w:rsidR="00E85080" w:rsidRPr="002A54D3" w:rsidRDefault="00E85080" w:rsidP="009F0711">
            <w:pPr>
              <w:pStyle w:val="ListParagraph"/>
              <w:ind w:left="0"/>
              <w:rPr>
                <w:rFonts w:cstheme="minorHAnsi"/>
                <w:b/>
              </w:rPr>
            </w:pPr>
            <w:r w:rsidRPr="002A54D3">
              <w:rPr>
                <w:rFonts w:cstheme="minorHAnsi"/>
              </w:rPr>
              <w:t>SAFE-GUARD®, SAFE-GUARD, Safe-Guard® Paste 10%, fenbendazole, strongyles, pinworms, ascarids, roundworms, arteritis, Safe-Guard, SafeGuard, Safe Guard</w:t>
            </w:r>
          </w:p>
          <w:p w14:paraId="04A9EC7B" w14:textId="5903242A" w:rsidR="00FD3F8F" w:rsidRPr="002A54D3" w:rsidRDefault="00FD3F8F" w:rsidP="00336A34">
            <w:pPr>
              <w:pStyle w:val="ListParagraph"/>
              <w:ind w:left="0"/>
              <w:rPr>
                <w:rFonts w:cstheme="minorHAnsi"/>
                <w:b/>
              </w:rPr>
            </w:pPr>
          </w:p>
        </w:tc>
      </w:tr>
      <w:tr w:rsidR="00E85080" w:rsidRPr="002A54D3" w14:paraId="46C499A4" w14:textId="77777777" w:rsidTr="00E85080">
        <w:tc>
          <w:tcPr>
            <w:tcW w:w="10350" w:type="dxa"/>
            <w:tcBorders>
              <w:bottom w:val="single" w:sz="4" w:space="0" w:color="auto"/>
            </w:tcBorders>
          </w:tcPr>
          <w:p w14:paraId="4556B998" w14:textId="77777777" w:rsidR="00E85080" w:rsidRPr="002A54D3" w:rsidRDefault="00E85080" w:rsidP="009F0711">
            <w:pPr>
              <w:pStyle w:val="ListParagraph"/>
              <w:ind w:left="0"/>
              <w:rPr>
                <w:rFonts w:cstheme="minorHAnsi"/>
                <w:b/>
              </w:rPr>
            </w:pPr>
          </w:p>
          <w:p w14:paraId="2B1AC38D" w14:textId="77777777" w:rsidR="00E85080" w:rsidRPr="002A54D3" w:rsidRDefault="00E85080" w:rsidP="009F0711">
            <w:pPr>
              <w:pStyle w:val="ListParagraph"/>
              <w:ind w:left="0"/>
              <w:rPr>
                <w:rFonts w:cstheme="minorHAnsi"/>
                <w:b/>
              </w:rPr>
            </w:pPr>
            <w:r w:rsidRPr="002A54D3">
              <w:rPr>
                <w:rFonts w:cstheme="minorHAnsi"/>
                <w:b/>
              </w:rPr>
              <w:t>SAFE-GUARD® (fenbendazole) EQUI-BITS® Equine Deworming Pellets</w:t>
            </w:r>
          </w:p>
          <w:p w14:paraId="3CCCCF11" w14:textId="77777777" w:rsidR="00E85080" w:rsidRPr="002A54D3" w:rsidRDefault="00E85080" w:rsidP="009F0711">
            <w:pPr>
              <w:pStyle w:val="ListParagraph"/>
              <w:ind w:left="0"/>
              <w:rPr>
                <w:rFonts w:cstheme="minorHAnsi"/>
                <w:i/>
              </w:rPr>
            </w:pPr>
          </w:p>
          <w:p w14:paraId="183086A9" w14:textId="77777777" w:rsidR="00E85080" w:rsidRPr="002A54D3" w:rsidRDefault="00E85080" w:rsidP="009F0711">
            <w:pPr>
              <w:pStyle w:val="ListParagraph"/>
              <w:ind w:left="0"/>
              <w:rPr>
                <w:rFonts w:cstheme="minorHAnsi"/>
                <w:i/>
              </w:rPr>
            </w:pPr>
            <w:r w:rsidRPr="002A54D3">
              <w:rPr>
                <w:rFonts w:cstheme="minorHAnsi"/>
                <w:i/>
              </w:rPr>
              <w:t>Product description</w:t>
            </w:r>
          </w:p>
          <w:p w14:paraId="18AABFD0" w14:textId="437F43A3" w:rsidR="00E85080" w:rsidRPr="003D1A98" w:rsidRDefault="00E85080" w:rsidP="003D1A98">
            <w:pPr>
              <w:autoSpaceDE w:val="0"/>
              <w:autoSpaceDN w:val="0"/>
              <w:adjustRightInd w:val="0"/>
              <w:rPr>
                <w:rFonts w:cstheme="minorHAnsi"/>
              </w:rPr>
            </w:pPr>
            <w:r w:rsidRPr="002A54D3">
              <w:rPr>
                <w:rFonts w:cstheme="minorHAnsi"/>
              </w:rPr>
              <w:t xml:space="preserve">SAFE-GUARD® (fenbendazole) EQUI-BITS® top dress pellets equine dewormer </w:t>
            </w:r>
            <w:r w:rsidR="00FD3F8F" w:rsidRPr="002A54D3">
              <w:rPr>
                <w:rFonts w:cstheme="minorHAnsi"/>
              </w:rPr>
              <w:t>is indicated for the control of large strongyles (</w:t>
            </w:r>
            <w:r w:rsidR="00FD3F8F" w:rsidRPr="002A54D3">
              <w:rPr>
                <w:rFonts w:cstheme="minorHAnsi"/>
                <w:i/>
                <w:iCs/>
              </w:rPr>
              <w:t>Strongylus edentatus, S. equinus, S. vulgaris, Triodontophorus spp.</w:t>
            </w:r>
            <w:r w:rsidR="00FD3F8F" w:rsidRPr="002A54D3">
              <w:rPr>
                <w:rFonts w:cstheme="minorHAnsi"/>
              </w:rPr>
              <w:t>), small strongyles (</w:t>
            </w:r>
            <w:r w:rsidR="00FD3F8F" w:rsidRPr="002A54D3">
              <w:rPr>
                <w:rFonts w:cstheme="minorHAnsi"/>
                <w:i/>
                <w:iCs/>
              </w:rPr>
              <w:t xml:space="preserve">Cyathostomum spp., Cylicocyclus spp., </w:t>
            </w:r>
            <w:r w:rsidR="00FD3F8F" w:rsidRPr="003D1A98">
              <w:rPr>
                <w:rFonts w:cstheme="minorHAnsi"/>
                <w:i/>
                <w:iCs/>
              </w:rPr>
              <w:t>Cylicostephanus spp.</w:t>
            </w:r>
            <w:r w:rsidR="003D1A98" w:rsidRPr="003D1A98">
              <w:rPr>
                <w:rFonts w:cstheme="minorHAnsi"/>
                <w:i/>
                <w:iCs/>
              </w:rPr>
              <w:t xml:space="preserve">, </w:t>
            </w:r>
            <w:r w:rsidR="003D1A98" w:rsidRPr="003D1A98">
              <w:rPr>
                <w:rFonts w:cstheme="minorHAnsi"/>
              </w:rPr>
              <w:t>pinworms (</w:t>
            </w:r>
            <w:r w:rsidR="003D1A98" w:rsidRPr="003D1A98">
              <w:rPr>
                <w:rFonts w:cstheme="minorHAnsi"/>
                <w:i/>
                <w:iCs/>
              </w:rPr>
              <w:t>Oxyuris equi</w:t>
            </w:r>
            <w:r w:rsidR="003D1A98" w:rsidRPr="003D1A98">
              <w:rPr>
                <w:rFonts w:cstheme="minorHAnsi"/>
              </w:rPr>
              <w:t>), and ascarids (</w:t>
            </w:r>
            <w:r w:rsidR="003D1A98" w:rsidRPr="003D1A98">
              <w:rPr>
                <w:rFonts w:cstheme="minorHAnsi"/>
                <w:i/>
                <w:iCs/>
              </w:rPr>
              <w:t>Parascaris equorum</w:t>
            </w:r>
            <w:r w:rsidR="003D1A98" w:rsidRPr="003D1A98">
              <w:rPr>
                <w:rFonts w:cstheme="minorHAnsi"/>
              </w:rPr>
              <w:t>).</w:t>
            </w:r>
          </w:p>
          <w:p w14:paraId="698D4DCD" w14:textId="77777777" w:rsidR="00E85080" w:rsidRPr="002A54D3" w:rsidRDefault="00E85080" w:rsidP="009F0711">
            <w:pPr>
              <w:pStyle w:val="ListParagraph"/>
              <w:ind w:left="0"/>
              <w:rPr>
                <w:rFonts w:cstheme="minorHAnsi"/>
                <w:i/>
              </w:rPr>
            </w:pPr>
          </w:p>
          <w:p w14:paraId="6CEE9700" w14:textId="77777777" w:rsidR="00E85080" w:rsidRPr="002A54D3" w:rsidRDefault="00E85080" w:rsidP="009F0711">
            <w:pPr>
              <w:rPr>
                <w:rFonts w:cstheme="minorHAnsi"/>
                <w:i/>
              </w:rPr>
            </w:pPr>
            <w:r w:rsidRPr="002A54D3">
              <w:rPr>
                <w:rFonts w:cstheme="minorHAnsi"/>
                <w:i/>
              </w:rPr>
              <w:t>Product benefits (bullets for Retailer website)</w:t>
            </w:r>
          </w:p>
          <w:p w14:paraId="1823B990" w14:textId="623D5E6E" w:rsidR="00E85080" w:rsidRPr="002A54D3" w:rsidRDefault="00E85080" w:rsidP="00CD1AAE">
            <w:pPr>
              <w:pStyle w:val="ListParagraph"/>
              <w:numPr>
                <w:ilvl w:val="0"/>
                <w:numId w:val="8"/>
              </w:numPr>
              <w:rPr>
                <w:rFonts w:cstheme="minorHAnsi"/>
                <w:i/>
              </w:rPr>
            </w:pPr>
            <w:r w:rsidRPr="002A54D3">
              <w:rPr>
                <w:rFonts w:eastAsia="Times New Roman" w:cstheme="minorHAnsi"/>
                <w:iCs/>
              </w:rPr>
              <w:t>Feed and deworm in a single step with alfalfa-based pellets </w:t>
            </w:r>
            <w:r w:rsidRPr="002A54D3">
              <w:rPr>
                <w:rFonts w:eastAsia="Times New Roman" w:cstheme="minorHAnsi"/>
                <w:iCs/>
                <w:vertAlign w:val="superscript"/>
              </w:rPr>
              <w:t>1</w:t>
            </w:r>
          </w:p>
          <w:p w14:paraId="6A7E1A4B" w14:textId="77777777" w:rsidR="00B50461" w:rsidRDefault="00B50461" w:rsidP="00CD1AAE">
            <w:pPr>
              <w:pStyle w:val="ListParagraph"/>
              <w:numPr>
                <w:ilvl w:val="0"/>
                <w:numId w:val="8"/>
              </w:numPr>
              <w:rPr>
                <w:rFonts w:cstheme="minorHAnsi"/>
              </w:rPr>
            </w:pPr>
            <w:r>
              <w:rPr>
                <w:rFonts w:cstheme="minorHAnsi"/>
              </w:rPr>
              <w:t>Apple-cinnamon flavor</w:t>
            </w:r>
          </w:p>
          <w:p w14:paraId="2D9285C8" w14:textId="26D5933C" w:rsidR="00E85080" w:rsidRPr="002A54D3" w:rsidRDefault="00E85080" w:rsidP="00CD1AAE">
            <w:pPr>
              <w:pStyle w:val="ListParagraph"/>
              <w:numPr>
                <w:ilvl w:val="0"/>
                <w:numId w:val="8"/>
              </w:numPr>
              <w:rPr>
                <w:rFonts w:cstheme="minorHAnsi"/>
              </w:rPr>
            </w:pPr>
            <w:r w:rsidRPr="002A54D3">
              <w:rPr>
                <w:rFonts w:cstheme="minorHAnsi"/>
              </w:rPr>
              <w:t xml:space="preserve">Available in a 1.25-lb bag that will treat a 1,250 </w:t>
            </w:r>
            <w:proofErr w:type="spellStart"/>
            <w:r w:rsidRPr="002A54D3">
              <w:rPr>
                <w:rFonts w:cstheme="minorHAnsi"/>
              </w:rPr>
              <w:t>lb</w:t>
            </w:r>
            <w:proofErr w:type="spellEnd"/>
            <w:r w:rsidRPr="002A54D3">
              <w:rPr>
                <w:rFonts w:cstheme="minorHAnsi"/>
              </w:rPr>
              <w:t xml:space="preserve"> horse</w:t>
            </w:r>
          </w:p>
          <w:p w14:paraId="01B14C5C" w14:textId="77777777" w:rsidR="00E85080" w:rsidRPr="002A54D3" w:rsidRDefault="00E85080" w:rsidP="00CD1AAE">
            <w:pPr>
              <w:pStyle w:val="ListParagraph"/>
              <w:numPr>
                <w:ilvl w:val="0"/>
                <w:numId w:val="8"/>
              </w:numPr>
              <w:rPr>
                <w:rFonts w:cstheme="minorHAnsi"/>
                <w:i/>
              </w:rPr>
            </w:pPr>
            <w:r w:rsidRPr="002A54D3">
              <w:rPr>
                <w:rFonts w:eastAsia="Times New Roman" w:cstheme="minorHAnsi"/>
                <w:iCs/>
              </w:rPr>
              <w:t>Perfect for weanlings or yearlings on feed or hard-to-paste or hard-to-catch horses</w:t>
            </w:r>
          </w:p>
          <w:p w14:paraId="09CB13E2" w14:textId="1B9B049B" w:rsidR="00E85080" w:rsidRPr="002A54D3" w:rsidRDefault="00E85080" w:rsidP="00CB2DB4">
            <w:pPr>
              <w:shd w:val="clear" w:color="auto" w:fill="FFFFFF"/>
              <w:spacing w:after="150" w:line="360" w:lineRule="atLeast"/>
              <w:ind w:left="360"/>
              <w:rPr>
                <w:rFonts w:eastAsia="Times New Roman" w:cstheme="minorHAnsi"/>
                <w:sz w:val="18"/>
                <w:szCs w:val="18"/>
              </w:rPr>
            </w:pPr>
            <w:r w:rsidRPr="002A54D3">
              <w:rPr>
                <w:rFonts w:eastAsia="Times New Roman" w:cstheme="minorHAnsi"/>
                <w:sz w:val="18"/>
                <w:szCs w:val="18"/>
                <w:vertAlign w:val="superscript"/>
              </w:rPr>
              <w:t xml:space="preserve">1 </w:t>
            </w:r>
            <w:r w:rsidRPr="002A54D3">
              <w:rPr>
                <w:rFonts w:eastAsia="Times New Roman" w:cstheme="minorHAnsi"/>
                <w:sz w:val="18"/>
                <w:szCs w:val="18"/>
              </w:rPr>
              <w:t>SAFE-GUARD</w:t>
            </w:r>
            <w:r w:rsidR="003D1A98">
              <w:rPr>
                <w:rFonts w:eastAsia="Times New Roman" w:cstheme="minorHAnsi"/>
                <w:sz w:val="18"/>
                <w:szCs w:val="18"/>
              </w:rPr>
              <w:t>®</w:t>
            </w:r>
            <w:r w:rsidRPr="002A54D3">
              <w:rPr>
                <w:rFonts w:eastAsia="Times New Roman" w:cstheme="minorHAnsi"/>
                <w:sz w:val="18"/>
                <w:szCs w:val="18"/>
              </w:rPr>
              <w:t xml:space="preserve"> (fenbendazole) EQUI-BITS® Equine Dewormer product label.</w:t>
            </w:r>
          </w:p>
          <w:p w14:paraId="3F4B4EAF" w14:textId="35B7D61F" w:rsidR="00FD3F8F" w:rsidRPr="002A54D3" w:rsidRDefault="00FD3F8F" w:rsidP="009F0711">
            <w:pPr>
              <w:shd w:val="clear" w:color="auto" w:fill="FFFFFF"/>
              <w:spacing w:after="150" w:line="360" w:lineRule="atLeast"/>
              <w:rPr>
                <w:rFonts w:eastAsia="Times New Roman" w:cstheme="minorHAnsi"/>
              </w:rPr>
            </w:pPr>
            <w:r w:rsidRPr="002A54D3">
              <w:rPr>
                <w:rFonts w:eastAsia="Times New Roman" w:cstheme="minorHAnsi"/>
              </w:rPr>
              <w:t>Dosage/Feeding Directions:</w:t>
            </w:r>
          </w:p>
          <w:p w14:paraId="23CCE226" w14:textId="5F42F702" w:rsidR="00FD3F8F" w:rsidRPr="002A54D3" w:rsidRDefault="00FD3F8F" w:rsidP="00CD1AAE">
            <w:pPr>
              <w:pStyle w:val="body"/>
              <w:numPr>
                <w:ilvl w:val="0"/>
                <w:numId w:val="19"/>
              </w:numPr>
              <w:shd w:val="clear" w:color="auto" w:fill="FFFFFF"/>
              <w:spacing w:before="20" w:beforeAutospacing="0" w:after="0" w:afterAutospacing="0"/>
              <w:textAlignment w:val="baseline"/>
              <w:rPr>
                <w:rFonts w:asciiTheme="minorHAnsi" w:hAnsiTheme="minorHAnsi" w:cstheme="minorHAnsi"/>
                <w:color w:val="000000"/>
                <w:sz w:val="22"/>
                <w:szCs w:val="22"/>
              </w:rPr>
            </w:pPr>
            <w:r w:rsidRPr="002A54D3">
              <w:rPr>
                <w:rFonts w:asciiTheme="minorHAnsi" w:hAnsiTheme="minorHAnsi" w:cstheme="minorHAnsi"/>
                <w:color w:val="000000"/>
                <w:sz w:val="22"/>
                <w:szCs w:val="22"/>
              </w:rPr>
              <w:t>The recommended dose is 5 mg</w:t>
            </w:r>
            <w:r w:rsidR="005C5FD7" w:rsidRPr="002A54D3">
              <w:rPr>
                <w:rFonts w:asciiTheme="minorHAnsi" w:hAnsiTheme="minorHAnsi" w:cstheme="minorHAnsi"/>
                <w:color w:val="000000"/>
                <w:sz w:val="22"/>
                <w:szCs w:val="22"/>
              </w:rPr>
              <w:t>/</w:t>
            </w:r>
            <w:r w:rsidRPr="002A54D3">
              <w:rPr>
                <w:rFonts w:asciiTheme="minorHAnsi" w:hAnsiTheme="minorHAnsi" w:cstheme="minorHAnsi"/>
                <w:color w:val="000000"/>
                <w:sz w:val="22"/>
                <w:szCs w:val="22"/>
              </w:rPr>
              <w:t>kg  (2.27 mg</w:t>
            </w:r>
            <w:r w:rsidR="005C5FD7" w:rsidRPr="002A54D3">
              <w:rPr>
                <w:rFonts w:asciiTheme="minorHAnsi" w:hAnsiTheme="minorHAnsi" w:cstheme="minorHAnsi"/>
                <w:color w:val="000000"/>
                <w:sz w:val="22"/>
                <w:szCs w:val="22"/>
              </w:rPr>
              <w:t>/</w:t>
            </w:r>
            <w:proofErr w:type="spellStart"/>
            <w:r w:rsidR="005C5FD7" w:rsidRPr="002A54D3">
              <w:rPr>
                <w:rFonts w:asciiTheme="minorHAnsi" w:hAnsiTheme="minorHAnsi" w:cstheme="minorHAnsi"/>
                <w:color w:val="000000"/>
                <w:sz w:val="22"/>
                <w:szCs w:val="22"/>
              </w:rPr>
              <w:t>lb</w:t>
            </w:r>
            <w:proofErr w:type="spellEnd"/>
            <w:r w:rsidRPr="002A54D3">
              <w:rPr>
                <w:rFonts w:asciiTheme="minorHAnsi" w:hAnsiTheme="minorHAnsi" w:cstheme="minorHAnsi"/>
                <w:color w:val="000000"/>
                <w:sz w:val="22"/>
                <w:szCs w:val="22"/>
              </w:rPr>
              <w:t>) in a </w:t>
            </w:r>
            <w:r w:rsidRPr="002A54D3">
              <w:rPr>
                <w:rFonts w:asciiTheme="minorHAnsi" w:hAnsiTheme="minorHAnsi" w:cstheme="minorHAnsi"/>
                <w:b/>
                <w:bCs/>
                <w:color w:val="000000"/>
                <w:sz w:val="22"/>
                <w:szCs w:val="22"/>
              </w:rPr>
              <w:t>ONE (1) DAY </w:t>
            </w:r>
            <w:r w:rsidRPr="002A54D3">
              <w:rPr>
                <w:rFonts w:asciiTheme="minorHAnsi" w:hAnsiTheme="minorHAnsi" w:cstheme="minorHAnsi"/>
                <w:color w:val="000000"/>
                <w:sz w:val="22"/>
                <w:szCs w:val="22"/>
              </w:rPr>
              <w:t>treatment.</w:t>
            </w:r>
          </w:p>
          <w:p w14:paraId="060C9191" w14:textId="270AEB88" w:rsidR="00FD3F8F" w:rsidRPr="002A54D3" w:rsidRDefault="00FD3F8F" w:rsidP="00CD1AAE">
            <w:pPr>
              <w:pStyle w:val="body"/>
              <w:numPr>
                <w:ilvl w:val="0"/>
                <w:numId w:val="19"/>
              </w:numPr>
              <w:shd w:val="clear" w:color="auto" w:fill="FFFFFF"/>
              <w:spacing w:before="20" w:beforeAutospacing="0" w:after="0" w:afterAutospacing="0"/>
              <w:textAlignment w:val="baseline"/>
              <w:rPr>
                <w:rFonts w:asciiTheme="minorHAnsi" w:hAnsiTheme="minorHAnsi" w:cstheme="minorHAnsi"/>
                <w:color w:val="000000"/>
                <w:sz w:val="22"/>
                <w:szCs w:val="22"/>
              </w:rPr>
            </w:pPr>
            <w:r w:rsidRPr="002A54D3">
              <w:rPr>
                <w:rFonts w:asciiTheme="minorHAnsi" w:hAnsiTheme="minorHAnsi" w:cstheme="minorHAnsi"/>
                <w:color w:val="000000"/>
                <w:sz w:val="22"/>
                <w:szCs w:val="22"/>
              </w:rPr>
              <w:t>For ascarids the recommended dose is 10 mg</w:t>
            </w:r>
            <w:r w:rsidR="005C5FD7" w:rsidRPr="002A54D3">
              <w:rPr>
                <w:rFonts w:asciiTheme="minorHAnsi" w:hAnsiTheme="minorHAnsi" w:cstheme="minorHAnsi"/>
                <w:color w:val="000000"/>
                <w:sz w:val="22"/>
                <w:szCs w:val="22"/>
              </w:rPr>
              <w:t>/</w:t>
            </w:r>
            <w:r w:rsidRPr="002A54D3">
              <w:rPr>
                <w:rFonts w:asciiTheme="minorHAnsi" w:hAnsiTheme="minorHAnsi" w:cstheme="minorHAnsi"/>
                <w:color w:val="000000"/>
                <w:sz w:val="22"/>
                <w:szCs w:val="22"/>
              </w:rPr>
              <w:t>kg (4.54 mg</w:t>
            </w:r>
            <w:r w:rsidR="005C5FD7" w:rsidRPr="002A54D3">
              <w:rPr>
                <w:rFonts w:asciiTheme="minorHAnsi" w:hAnsiTheme="minorHAnsi" w:cstheme="minorHAnsi"/>
                <w:color w:val="000000"/>
                <w:sz w:val="22"/>
                <w:szCs w:val="22"/>
              </w:rPr>
              <w:t>/</w:t>
            </w:r>
            <w:proofErr w:type="spellStart"/>
            <w:r w:rsidR="005C5FD7" w:rsidRPr="002A54D3">
              <w:rPr>
                <w:rFonts w:asciiTheme="minorHAnsi" w:hAnsiTheme="minorHAnsi" w:cstheme="minorHAnsi"/>
                <w:color w:val="000000"/>
                <w:sz w:val="22"/>
                <w:szCs w:val="22"/>
              </w:rPr>
              <w:t>lb</w:t>
            </w:r>
            <w:proofErr w:type="spellEnd"/>
            <w:r w:rsidRPr="002A54D3">
              <w:rPr>
                <w:rFonts w:asciiTheme="minorHAnsi" w:hAnsiTheme="minorHAnsi" w:cstheme="minorHAnsi"/>
                <w:color w:val="000000"/>
                <w:sz w:val="22"/>
                <w:szCs w:val="22"/>
              </w:rPr>
              <w:t>) in a </w:t>
            </w:r>
            <w:r w:rsidRPr="002A54D3">
              <w:rPr>
                <w:rFonts w:asciiTheme="minorHAnsi" w:hAnsiTheme="minorHAnsi" w:cstheme="minorHAnsi"/>
                <w:b/>
                <w:bCs/>
                <w:color w:val="000000"/>
                <w:sz w:val="22"/>
                <w:szCs w:val="22"/>
              </w:rPr>
              <w:t>ONE (1) DAY </w:t>
            </w:r>
            <w:r w:rsidRPr="002A54D3">
              <w:rPr>
                <w:rFonts w:asciiTheme="minorHAnsi" w:hAnsiTheme="minorHAnsi" w:cstheme="minorHAnsi"/>
                <w:color w:val="000000"/>
                <w:sz w:val="22"/>
                <w:szCs w:val="22"/>
              </w:rPr>
              <w:t>treatment.</w:t>
            </w:r>
          </w:p>
          <w:p w14:paraId="2B391F46" w14:textId="77777777" w:rsidR="00FD3F8F" w:rsidRPr="002A54D3" w:rsidRDefault="00FD3F8F" w:rsidP="00CD1AAE">
            <w:pPr>
              <w:pStyle w:val="body"/>
              <w:numPr>
                <w:ilvl w:val="0"/>
                <w:numId w:val="19"/>
              </w:numPr>
              <w:shd w:val="clear" w:color="auto" w:fill="FFFFFF"/>
              <w:spacing w:before="20" w:beforeAutospacing="0" w:after="0" w:afterAutospacing="0"/>
              <w:textAlignment w:val="baseline"/>
              <w:rPr>
                <w:rFonts w:asciiTheme="minorHAnsi" w:hAnsiTheme="minorHAnsi" w:cstheme="minorHAnsi"/>
                <w:color w:val="000000"/>
                <w:sz w:val="22"/>
                <w:szCs w:val="22"/>
              </w:rPr>
            </w:pPr>
            <w:r w:rsidRPr="002A54D3">
              <w:rPr>
                <w:rFonts w:asciiTheme="minorHAnsi" w:hAnsiTheme="minorHAnsi" w:cstheme="minorHAnsi"/>
                <w:color w:val="000000"/>
                <w:sz w:val="22"/>
                <w:szCs w:val="22"/>
              </w:rPr>
              <w:t>All horses must be eating normally to ensure that each animal consumes an adequate amount of the medicated feed.</w:t>
            </w:r>
          </w:p>
          <w:p w14:paraId="497191BA" w14:textId="6D3E3B70" w:rsidR="00FD3F8F" w:rsidRPr="002A54D3" w:rsidRDefault="005C5FD7" w:rsidP="00CD1AAE">
            <w:pPr>
              <w:pStyle w:val="body"/>
              <w:numPr>
                <w:ilvl w:val="0"/>
                <w:numId w:val="19"/>
              </w:numPr>
              <w:shd w:val="clear" w:color="auto" w:fill="FFFFFF"/>
              <w:spacing w:before="20" w:beforeAutospacing="0" w:after="0" w:afterAutospacing="0"/>
              <w:textAlignment w:val="baseline"/>
              <w:rPr>
                <w:rFonts w:asciiTheme="minorHAnsi" w:hAnsiTheme="minorHAnsi" w:cstheme="minorHAnsi"/>
                <w:color w:val="000000"/>
                <w:sz w:val="22"/>
                <w:szCs w:val="22"/>
              </w:rPr>
            </w:pPr>
            <w:r w:rsidRPr="002A54D3">
              <w:rPr>
                <w:rFonts w:asciiTheme="minorHAnsi" w:hAnsiTheme="minorHAnsi" w:cstheme="minorHAnsi"/>
                <w:color w:val="000000"/>
                <w:sz w:val="22"/>
                <w:szCs w:val="22"/>
              </w:rPr>
              <w:t>SAFE-GUARD</w:t>
            </w:r>
            <w:r w:rsidR="00FD3F8F" w:rsidRPr="002A54D3">
              <w:rPr>
                <w:rFonts w:asciiTheme="minorHAnsi" w:hAnsiTheme="minorHAnsi" w:cstheme="minorHAnsi"/>
                <w:color w:val="000000"/>
                <w:sz w:val="22"/>
                <w:szCs w:val="22"/>
                <w:vertAlign w:val="superscript"/>
              </w:rPr>
              <w:t>®</w:t>
            </w:r>
            <w:r w:rsidR="00FD3F8F" w:rsidRPr="002A54D3">
              <w:rPr>
                <w:rFonts w:asciiTheme="minorHAnsi" w:hAnsiTheme="minorHAnsi" w:cstheme="minorHAnsi"/>
                <w:color w:val="000000"/>
                <w:sz w:val="22"/>
                <w:szCs w:val="22"/>
              </w:rPr>
              <w:t> </w:t>
            </w:r>
            <w:r w:rsidRPr="002A54D3">
              <w:rPr>
                <w:rFonts w:asciiTheme="minorHAnsi" w:hAnsiTheme="minorHAnsi" w:cstheme="minorHAnsi"/>
                <w:color w:val="000000"/>
                <w:sz w:val="22"/>
                <w:szCs w:val="22"/>
              </w:rPr>
              <w:t>EQUI-BITS</w:t>
            </w:r>
            <w:r w:rsidR="00FD3F8F" w:rsidRPr="002A54D3">
              <w:rPr>
                <w:rFonts w:asciiTheme="minorHAnsi" w:hAnsiTheme="minorHAnsi" w:cstheme="minorHAnsi"/>
                <w:color w:val="000000"/>
                <w:sz w:val="22"/>
                <w:szCs w:val="22"/>
                <w:vertAlign w:val="superscript"/>
              </w:rPr>
              <w:t>®</w:t>
            </w:r>
            <w:r w:rsidR="00FD3F8F" w:rsidRPr="002A54D3">
              <w:rPr>
                <w:rFonts w:asciiTheme="minorHAnsi" w:hAnsiTheme="minorHAnsi" w:cstheme="minorHAnsi"/>
                <w:color w:val="000000"/>
                <w:sz w:val="22"/>
                <w:szCs w:val="22"/>
              </w:rPr>
              <w:t> Top Dress Pellets must be spread uniformly on top of the daily ration.</w:t>
            </w:r>
          </w:p>
          <w:p w14:paraId="7819BB8E" w14:textId="77777777" w:rsidR="005C5FD7" w:rsidRPr="002A54D3" w:rsidRDefault="005C5FD7" w:rsidP="00FD3F8F">
            <w:pPr>
              <w:pStyle w:val="ListParagraph"/>
              <w:ind w:left="0"/>
              <w:rPr>
                <w:rFonts w:cstheme="minorHAnsi"/>
              </w:rPr>
            </w:pPr>
          </w:p>
          <w:p w14:paraId="465D816A" w14:textId="4E9653CD" w:rsidR="00FD3F8F" w:rsidRPr="002A54D3" w:rsidRDefault="00E85080" w:rsidP="00FD3F8F">
            <w:pPr>
              <w:pStyle w:val="ListParagraph"/>
              <w:ind w:left="0"/>
              <w:rPr>
                <w:rFonts w:cstheme="minorHAnsi"/>
              </w:rPr>
            </w:pPr>
            <w:r w:rsidRPr="00C56526">
              <w:rPr>
                <w:rFonts w:cstheme="minorHAnsi"/>
                <w:b/>
                <w:bCs/>
              </w:rPr>
              <w:lastRenderedPageBreak/>
              <w:t>IMPORTANT SAFETY INFORMATION:</w:t>
            </w:r>
            <w:r w:rsidRPr="002A54D3">
              <w:rPr>
                <w:rFonts w:cstheme="minorHAnsi"/>
              </w:rPr>
              <w:t xml:space="preserve"> </w:t>
            </w:r>
            <w:r w:rsidR="00FD3F8F" w:rsidRPr="002A54D3">
              <w:rPr>
                <w:rFonts w:cstheme="minorHAnsi"/>
              </w:rPr>
              <w:t>Not for use in humans. Keep out of reach of children. Consult your veterinarian for assistance in the diagnosis, treatment and control of parasitism. Do not use in horses intended for human consumption.</w:t>
            </w:r>
          </w:p>
          <w:p w14:paraId="2CD947C8" w14:textId="77777777" w:rsidR="00E85080" w:rsidRPr="002A54D3" w:rsidRDefault="00E85080" w:rsidP="009F0711">
            <w:pPr>
              <w:pStyle w:val="ListParagraph"/>
              <w:rPr>
                <w:rFonts w:cstheme="minorHAnsi"/>
                <w:i/>
              </w:rPr>
            </w:pPr>
          </w:p>
          <w:p w14:paraId="26A386CB" w14:textId="77777777" w:rsidR="00E85080" w:rsidRPr="002A54D3" w:rsidRDefault="00E85080" w:rsidP="009F0711">
            <w:pPr>
              <w:pStyle w:val="ListParagraph"/>
              <w:ind w:left="0"/>
              <w:rPr>
                <w:rFonts w:cstheme="minorHAnsi"/>
                <w:i/>
              </w:rPr>
            </w:pPr>
            <w:r w:rsidRPr="002A54D3">
              <w:rPr>
                <w:rFonts w:cstheme="minorHAnsi"/>
                <w:i/>
              </w:rPr>
              <w:t>Key words</w:t>
            </w:r>
          </w:p>
          <w:p w14:paraId="6A76E9FE" w14:textId="309B98E8" w:rsidR="00E85080" w:rsidRPr="002A54D3" w:rsidRDefault="00E85080" w:rsidP="009F0711">
            <w:pPr>
              <w:pStyle w:val="ListParagraph"/>
              <w:ind w:left="0"/>
              <w:rPr>
                <w:rFonts w:cstheme="minorHAnsi"/>
              </w:rPr>
            </w:pPr>
            <w:r w:rsidRPr="002A54D3">
              <w:rPr>
                <w:rFonts w:cstheme="minorHAnsi"/>
              </w:rPr>
              <w:t>SAFE-GUARD® EQUI-BITS®, SAFE-GUARD EQUI-BITS, Safe-Guard® Equi-Bits®, fenbendazole, strongyles, pinworms, ascarids, roundworms, Equibits, Safe-Guard Equi-Bits, Safe guard Equi-bits, bits</w:t>
            </w:r>
          </w:p>
          <w:p w14:paraId="6EFBA3B7" w14:textId="08172226" w:rsidR="005C5FD7" w:rsidRPr="002A54D3" w:rsidRDefault="005C5FD7" w:rsidP="00336A34">
            <w:pPr>
              <w:pStyle w:val="ListParagraph"/>
              <w:ind w:left="0"/>
              <w:rPr>
                <w:rFonts w:cstheme="minorHAnsi"/>
                <w:b/>
              </w:rPr>
            </w:pPr>
          </w:p>
        </w:tc>
      </w:tr>
    </w:tbl>
    <w:p w14:paraId="19B5F72A" w14:textId="77777777" w:rsidR="002A54D3" w:rsidRDefault="002A54D3" w:rsidP="007320CC">
      <w:pPr>
        <w:spacing w:after="0"/>
        <w:jc w:val="center"/>
        <w:rPr>
          <w:rFonts w:cstheme="minorHAnsi"/>
          <w:sz w:val="20"/>
          <w:szCs w:val="20"/>
        </w:rPr>
      </w:pPr>
    </w:p>
    <w:p w14:paraId="14ED0CAA" w14:textId="77777777" w:rsidR="002A54D3" w:rsidRDefault="002A54D3" w:rsidP="007320CC">
      <w:pPr>
        <w:spacing w:after="0"/>
        <w:jc w:val="center"/>
        <w:rPr>
          <w:rFonts w:cstheme="minorHAnsi"/>
          <w:sz w:val="20"/>
          <w:szCs w:val="20"/>
        </w:rPr>
      </w:pPr>
    </w:p>
    <w:p w14:paraId="0663170F" w14:textId="77777777" w:rsidR="002A54D3" w:rsidRDefault="002A54D3" w:rsidP="007320CC">
      <w:pPr>
        <w:spacing w:after="0"/>
        <w:jc w:val="center"/>
        <w:rPr>
          <w:rFonts w:cstheme="minorHAnsi"/>
          <w:sz w:val="20"/>
          <w:szCs w:val="20"/>
        </w:rPr>
      </w:pPr>
    </w:p>
    <w:p w14:paraId="7D1B85B7" w14:textId="77777777" w:rsidR="002A54D3" w:rsidRDefault="002A54D3" w:rsidP="007320CC">
      <w:pPr>
        <w:spacing w:after="0"/>
        <w:jc w:val="center"/>
        <w:rPr>
          <w:rFonts w:cstheme="minorHAnsi"/>
          <w:sz w:val="20"/>
          <w:szCs w:val="20"/>
        </w:rPr>
      </w:pPr>
    </w:p>
    <w:p w14:paraId="3C9CD780" w14:textId="77777777" w:rsidR="002A54D3" w:rsidRDefault="002A54D3" w:rsidP="007320CC">
      <w:pPr>
        <w:spacing w:after="0"/>
        <w:jc w:val="center"/>
        <w:rPr>
          <w:rFonts w:cstheme="minorHAnsi"/>
          <w:sz w:val="20"/>
          <w:szCs w:val="20"/>
        </w:rPr>
      </w:pPr>
    </w:p>
    <w:p w14:paraId="7E48DAC1" w14:textId="77777777" w:rsidR="002A54D3" w:rsidRDefault="002A54D3" w:rsidP="007320CC">
      <w:pPr>
        <w:spacing w:after="0"/>
        <w:jc w:val="center"/>
        <w:rPr>
          <w:rFonts w:cstheme="minorHAnsi"/>
          <w:sz w:val="20"/>
          <w:szCs w:val="20"/>
        </w:rPr>
      </w:pPr>
    </w:p>
    <w:p w14:paraId="4644D4D5" w14:textId="77777777" w:rsidR="002A54D3" w:rsidRDefault="002A54D3" w:rsidP="007320CC">
      <w:pPr>
        <w:spacing w:after="0"/>
        <w:jc w:val="center"/>
        <w:rPr>
          <w:rFonts w:cstheme="minorHAnsi"/>
          <w:sz w:val="20"/>
          <w:szCs w:val="20"/>
        </w:rPr>
      </w:pPr>
    </w:p>
    <w:p w14:paraId="4A3EC2D5" w14:textId="77777777" w:rsidR="002A54D3" w:rsidRDefault="002A54D3" w:rsidP="007320CC">
      <w:pPr>
        <w:spacing w:after="0"/>
        <w:jc w:val="center"/>
        <w:rPr>
          <w:rFonts w:cstheme="minorHAnsi"/>
          <w:sz w:val="20"/>
          <w:szCs w:val="20"/>
        </w:rPr>
      </w:pPr>
    </w:p>
    <w:p w14:paraId="7D847F9C" w14:textId="77777777" w:rsidR="002A54D3" w:rsidRDefault="002A54D3" w:rsidP="007320CC">
      <w:pPr>
        <w:spacing w:after="0"/>
        <w:jc w:val="center"/>
        <w:rPr>
          <w:rFonts w:cstheme="minorHAnsi"/>
          <w:sz w:val="20"/>
          <w:szCs w:val="20"/>
        </w:rPr>
      </w:pPr>
    </w:p>
    <w:p w14:paraId="7A5F3D80" w14:textId="77777777" w:rsidR="002A54D3" w:rsidRDefault="002A54D3" w:rsidP="007320CC">
      <w:pPr>
        <w:spacing w:after="0"/>
        <w:jc w:val="center"/>
        <w:rPr>
          <w:rFonts w:cstheme="minorHAnsi"/>
          <w:sz w:val="20"/>
          <w:szCs w:val="20"/>
        </w:rPr>
      </w:pPr>
    </w:p>
    <w:p w14:paraId="22A21B8E" w14:textId="77777777" w:rsidR="002A54D3" w:rsidRDefault="002A54D3" w:rsidP="007320CC">
      <w:pPr>
        <w:spacing w:after="0"/>
        <w:jc w:val="center"/>
        <w:rPr>
          <w:rFonts w:cstheme="minorHAnsi"/>
          <w:sz w:val="20"/>
          <w:szCs w:val="20"/>
        </w:rPr>
      </w:pPr>
    </w:p>
    <w:p w14:paraId="415872F2" w14:textId="793E87D3" w:rsidR="00336A34" w:rsidRDefault="00336A34" w:rsidP="007320CC">
      <w:pPr>
        <w:spacing w:after="0"/>
        <w:jc w:val="center"/>
        <w:rPr>
          <w:rFonts w:cstheme="minorHAnsi"/>
          <w:sz w:val="20"/>
          <w:szCs w:val="20"/>
        </w:rPr>
      </w:pPr>
    </w:p>
    <w:p w14:paraId="6EEDA8A7" w14:textId="458EF20F" w:rsidR="00336A34" w:rsidRDefault="00336A34" w:rsidP="007320CC">
      <w:pPr>
        <w:spacing w:after="0"/>
        <w:jc w:val="center"/>
        <w:rPr>
          <w:rFonts w:cstheme="minorHAnsi"/>
          <w:sz w:val="20"/>
          <w:szCs w:val="20"/>
        </w:rPr>
      </w:pPr>
    </w:p>
    <w:p w14:paraId="17E90850" w14:textId="61F096E3" w:rsidR="00E42ED0" w:rsidRDefault="00E42ED0" w:rsidP="007320CC">
      <w:pPr>
        <w:spacing w:after="0"/>
        <w:jc w:val="center"/>
        <w:rPr>
          <w:rFonts w:cstheme="minorHAnsi"/>
          <w:sz w:val="20"/>
          <w:szCs w:val="20"/>
        </w:rPr>
      </w:pPr>
    </w:p>
    <w:p w14:paraId="65D97AA6" w14:textId="634319A1" w:rsidR="00E42ED0" w:rsidRDefault="00E42ED0" w:rsidP="007320CC">
      <w:pPr>
        <w:spacing w:after="0"/>
        <w:jc w:val="center"/>
        <w:rPr>
          <w:rFonts w:cstheme="minorHAnsi"/>
          <w:sz w:val="20"/>
          <w:szCs w:val="20"/>
        </w:rPr>
      </w:pPr>
    </w:p>
    <w:p w14:paraId="203B21D6" w14:textId="178DDB3F" w:rsidR="00E42ED0" w:rsidRDefault="00E42ED0" w:rsidP="007320CC">
      <w:pPr>
        <w:spacing w:after="0"/>
        <w:jc w:val="center"/>
        <w:rPr>
          <w:rFonts w:cstheme="minorHAnsi"/>
          <w:sz w:val="20"/>
          <w:szCs w:val="20"/>
        </w:rPr>
      </w:pPr>
    </w:p>
    <w:p w14:paraId="3820C4D2" w14:textId="5C2B8A53" w:rsidR="00E42ED0" w:rsidRDefault="00E42ED0" w:rsidP="007320CC">
      <w:pPr>
        <w:spacing w:after="0"/>
        <w:jc w:val="center"/>
        <w:rPr>
          <w:rFonts w:cstheme="minorHAnsi"/>
          <w:sz w:val="20"/>
          <w:szCs w:val="20"/>
        </w:rPr>
      </w:pPr>
    </w:p>
    <w:p w14:paraId="0D666A6C" w14:textId="2D0D63AA" w:rsidR="00E42ED0" w:rsidRDefault="00E42ED0" w:rsidP="007320CC">
      <w:pPr>
        <w:spacing w:after="0"/>
        <w:jc w:val="center"/>
        <w:rPr>
          <w:rFonts w:cstheme="minorHAnsi"/>
          <w:sz w:val="20"/>
          <w:szCs w:val="20"/>
        </w:rPr>
      </w:pPr>
    </w:p>
    <w:p w14:paraId="75B52D99" w14:textId="42A3334E" w:rsidR="00E42ED0" w:rsidRDefault="00E42ED0" w:rsidP="007320CC">
      <w:pPr>
        <w:spacing w:after="0"/>
        <w:jc w:val="center"/>
        <w:rPr>
          <w:rFonts w:cstheme="minorHAnsi"/>
          <w:sz w:val="20"/>
          <w:szCs w:val="20"/>
        </w:rPr>
      </w:pPr>
    </w:p>
    <w:p w14:paraId="09F40065" w14:textId="70BFD9FC" w:rsidR="00E42ED0" w:rsidRDefault="00E42ED0" w:rsidP="007320CC">
      <w:pPr>
        <w:spacing w:after="0"/>
        <w:jc w:val="center"/>
        <w:rPr>
          <w:rFonts w:cstheme="minorHAnsi"/>
          <w:sz w:val="20"/>
          <w:szCs w:val="20"/>
        </w:rPr>
      </w:pPr>
    </w:p>
    <w:p w14:paraId="0B1A9AB3" w14:textId="16AD8C23" w:rsidR="00E42ED0" w:rsidRDefault="00E42ED0" w:rsidP="007320CC">
      <w:pPr>
        <w:spacing w:after="0"/>
        <w:jc w:val="center"/>
        <w:rPr>
          <w:rFonts w:cstheme="minorHAnsi"/>
          <w:sz w:val="20"/>
          <w:szCs w:val="20"/>
        </w:rPr>
      </w:pPr>
    </w:p>
    <w:p w14:paraId="1AE5DCA8" w14:textId="7F4EC682" w:rsidR="00E42ED0" w:rsidRDefault="00E42ED0" w:rsidP="007320CC">
      <w:pPr>
        <w:spacing w:after="0"/>
        <w:jc w:val="center"/>
        <w:rPr>
          <w:rFonts w:cstheme="minorHAnsi"/>
          <w:sz w:val="20"/>
          <w:szCs w:val="20"/>
        </w:rPr>
      </w:pPr>
    </w:p>
    <w:p w14:paraId="0C22733F" w14:textId="20AC01D8" w:rsidR="00E42ED0" w:rsidRDefault="00E42ED0" w:rsidP="007320CC">
      <w:pPr>
        <w:spacing w:after="0"/>
        <w:jc w:val="center"/>
        <w:rPr>
          <w:rFonts w:cstheme="minorHAnsi"/>
          <w:sz w:val="20"/>
          <w:szCs w:val="20"/>
        </w:rPr>
      </w:pPr>
    </w:p>
    <w:p w14:paraId="01CF79AA" w14:textId="0F7B1918" w:rsidR="00E42ED0" w:rsidRDefault="00E42ED0" w:rsidP="007320CC">
      <w:pPr>
        <w:spacing w:after="0"/>
        <w:jc w:val="center"/>
        <w:rPr>
          <w:rFonts w:cstheme="minorHAnsi"/>
          <w:sz w:val="20"/>
          <w:szCs w:val="20"/>
        </w:rPr>
      </w:pPr>
    </w:p>
    <w:p w14:paraId="007E7941" w14:textId="0EFE5A54" w:rsidR="00E42ED0" w:rsidRDefault="00E42ED0" w:rsidP="007320CC">
      <w:pPr>
        <w:spacing w:after="0"/>
        <w:jc w:val="center"/>
        <w:rPr>
          <w:rFonts w:cstheme="minorHAnsi"/>
          <w:sz w:val="20"/>
          <w:szCs w:val="20"/>
        </w:rPr>
      </w:pPr>
    </w:p>
    <w:p w14:paraId="4EDC0655" w14:textId="69EBCA99" w:rsidR="00E42ED0" w:rsidRDefault="00E42ED0" w:rsidP="007320CC">
      <w:pPr>
        <w:spacing w:after="0"/>
        <w:jc w:val="center"/>
        <w:rPr>
          <w:rFonts w:cstheme="minorHAnsi"/>
          <w:sz w:val="20"/>
          <w:szCs w:val="20"/>
        </w:rPr>
      </w:pPr>
    </w:p>
    <w:p w14:paraId="15C83E54" w14:textId="3E0BE1D3" w:rsidR="00E42ED0" w:rsidRDefault="00E42ED0" w:rsidP="007320CC">
      <w:pPr>
        <w:spacing w:after="0"/>
        <w:jc w:val="center"/>
        <w:rPr>
          <w:rFonts w:cstheme="minorHAnsi"/>
          <w:sz w:val="20"/>
          <w:szCs w:val="20"/>
        </w:rPr>
      </w:pPr>
    </w:p>
    <w:p w14:paraId="68E3362A" w14:textId="6FA1D347" w:rsidR="00E42ED0" w:rsidRDefault="00E42ED0" w:rsidP="007320CC">
      <w:pPr>
        <w:spacing w:after="0"/>
        <w:jc w:val="center"/>
        <w:rPr>
          <w:rFonts w:cstheme="minorHAnsi"/>
          <w:sz w:val="20"/>
          <w:szCs w:val="20"/>
        </w:rPr>
      </w:pPr>
    </w:p>
    <w:p w14:paraId="2E334BD2" w14:textId="00F0890A" w:rsidR="00E42ED0" w:rsidRDefault="00E42ED0" w:rsidP="007320CC">
      <w:pPr>
        <w:spacing w:after="0"/>
        <w:jc w:val="center"/>
        <w:rPr>
          <w:rFonts w:cstheme="minorHAnsi"/>
          <w:sz w:val="20"/>
          <w:szCs w:val="20"/>
        </w:rPr>
      </w:pPr>
    </w:p>
    <w:p w14:paraId="01D6DA86" w14:textId="77777777" w:rsidR="00336A34" w:rsidRDefault="00336A34" w:rsidP="007320CC">
      <w:pPr>
        <w:spacing w:after="0"/>
        <w:jc w:val="center"/>
        <w:rPr>
          <w:rFonts w:cstheme="minorHAnsi"/>
          <w:sz w:val="20"/>
          <w:szCs w:val="20"/>
        </w:rPr>
      </w:pPr>
    </w:p>
    <w:p w14:paraId="20BFA460" w14:textId="77777777" w:rsidR="002A54D3" w:rsidRDefault="002A54D3" w:rsidP="007320CC">
      <w:pPr>
        <w:spacing w:after="0"/>
        <w:jc w:val="center"/>
        <w:rPr>
          <w:rFonts w:cstheme="minorHAnsi"/>
          <w:sz w:val="20"/>
          <w:szCs w:val="20"/>
        </w:rPr>
      </w:pPr>
    </w:p>
    <w:p w14:paraId="0C615B17" w14:textId="77777777" w:rsidR="002A54D3" w:rsidRDefault="002A54D3" w:rsidP="007320CC">
      <w:pPr>
        <w:spacing w:after="0"/>
        <w:jc w:val="center"/>
        <w:rPr>
          <w:rFonts w:cstheme="minorHAnsi"/>
          <w:sz w:val="20"/>
          <w:szCs w:val="20"/>
        </w:rPr>
      </w:pPr>
    </w:p>
    <w:p w14:paraId="51A0B2A3" w14:textId="77777777" w:rsidR="002A54D3" w:rsidRDefault="002A54D3" w:rsidP="007320CC">
      <w:pPr>
        <w:spacing w:after="0"/>
        <w:jc w:val="center"/>
        <w:rPr>
          <w:rFonts w:cstheme="minorHAnsi"/>
          <w:sz w:val="20"/>
          <w:szCs w:val="20"/>
        </w:rPr>
      </w:pPr>
    </w:p>
    <w:p w14:paraId="0C291030" w14:textId="77777777" w:rsidR="002A54D3" w:rsidRDefault="002A54D3" w:rsidP="007320CC">
      <w:pPr>
        <w:spacing w:after="0"/>
        <w:jc w:val="center"/>
        <w:rPr>
          <w:rFonts w:cstheme="minorHAnsi"/>
          <w:sz w:val="20"/>
          <w:szCs w:val="20"/>
        </w:rPr>
      </w:pPr>
    </w:p>
    <w:p w14:paraId="32FBBEEC" w14:textId="77777777" w:rsidR="002A54D3" w:rsidRDefault="002A54D3" w:rsidP="007320CC">
      <w:pPr>
        <w:spacing w:after="0"/>
        <w:jc w:val="center"/>
        <w:rPr>
          <w:rFonts w:cstheme="minorHAnsi"/>
          <w:sz w:val="20"/>
          <w:szCs w:val="20"/>
        </w:rPr>
      </w:pPr>
    </w:p>
    <w:p w14:paraId="6694A7EB" w14:textId="1E5EB969" w:rsidR="007320CC" w:rsidRPr="004B0BE4" w:rsidRDefault="007320CC" w:rsidP="007320CC">
      <w:pPr>
        <w:spacing w:after="0"/>
        <w:jc w:val="center"/>
        <w:rPr>
          <w:rFonts w:cstheme="minorHAnsi"/>
          <w:sz w:val="18"/>
          <w:szCs w:val="18"/>
        </w:rPr>
      </w:pPr>
      <w:r w:rsidRPr="004B0BE4">
        <w:rPr>
          <w:rFonts w:cstheme="minorHAnsi"/>
          <w:sz w:val="18"/>
          <w:szCs w:val="18"/>
        </w:rPr>
        <w:t>Copyright © 202</w:t>
      </w:r>
      <w:r w:rsidR="00482324" w:rsidRPr="004B0BE4">
        <w:rPr>
          <w:rFonts w:cstheme="minorHAnsi"/>
          <w:sz w:val="18"/>
          <w:szCs w:val="18"/>
        </w:rPr>
        <w:t>2</w:t>
      </w:r>
      <w:r w:rsidRPr="004B0BE4">
        <w:rPr>
          <w:rFonts w:cstheme="minorHAnsi"/>
          <w:sz w:val="18"/>
          <w:szCs w:val="18"/>
        </w:rPr>
        <w:t xml:space="preserve"> Intervet Inc., d/b/a/ Merck Animal Health, a subsidiary of Merck &amp; Co., Inc.</w:t>
      </w:r>
    </w:p>
    <w:p w14:paraId="22760F48" w14:textId="081FD845" w:rsidR="007320CC" w:rsidRPr="004B0BE4" w:rsidRDefault="007320CC" w:rsidP="007320CC">
      <w:pPr>
        <w:spacing w:after="0"/>
        <w:jc w:val="center"/>
        <w:rPr>
          <w:rFonts w:cstheme="minorHAnsi"/>
          <w:color w:val="FF0000"/>
          <w:sz w:val="18"/>
          <w:szCs w:val="18"/>
        </w:rPr>
      </w:pPr>
      <w:r w:rsidRPr="004B0BE4">
        <w:rPr>
          <w:rFonts w:cstheme="minorHAnsi"/>
          <w:sz w:val="18"/>
          <w:szCs w:val="18"/>
        </w:rPr>
        <w:t>Equine Product Descriptions and Bullets for Online Retailer Websites.</w:t>
      </w:r>
      <w:r w:rsidR="00D33FCA" w:rsidRPr="004B0BE4">
        <w:rPr>
          <w:rFonts w:cstheme="minorHAnsi"/>
          <w:sz w:val="18"/>
          <w:szCs w:val="18"/>
        </w:rPr>
        <w:t xml:space="preserve"> </w:t>
      </w:r>
      <w:r w:rsidR="004B0BE4" w:rsidRPr="004B0BE4">
        <w:rPr>
          <w:rFonts w:cstheme="minorHAnsi"/>
          <w:color w:val="303030"/>
          <w:sz w:val="18"/>
          <w:szCs w:val="18"/>
          <w:shd w:val="clear" w:color="auto" w:fill="FFFFFF"/>
        </w:rPr>
        <w:t>US-PAN-220100001</w:t>
      </w:r>
    </w:p>
    <w:sectPr w:rsidR="007320CC" w:rsidRPr="004B0BE4" w:rsidSect="00953F51">
      <w:pgSz w:w="12240" w:h="15840"/>
      <w:pgMar w:top="720" w:right="1152"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FE18C" w14:textId="77777777" w:rsidR="009F0711" w:rsidRDefault="009F0711" w:rsidP="006F595B">
      <w:pPr>
        <w:spacing w:after="0" w:line="240" w:lineRule="auto"/>
      </w:pPr>
      <w:r>
        <w:separator/>
      </w:r>
    </w:p>
  </w:endnote>
  <w:endnote w:type="continuationSeparator" w:id="0">
    <w:p w14:paraId="1797F479" w14:textId="77777777" w:rsidR="009F0711" w:rsidRDefault="009F0711" w:rsidP="006F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560BF" w14:textId="77777777" w:rsidR="009F0711" w:rsidRDefault="009F0711" w:rsidP="006F595B">
      <w:pPr>
        <w:spacing w:after="0" w:line="240" w:lineRule="auto"/>
      </w:pPr>
      <w:r>
        <w:separator/>
      </w:r>
    </w:p>
  </w:footnote>
  <w:footnote w:type="continuationSeparator" w:id="0">
    <w:p w14:paraId="214B1E44" w14:textId="77777777" w:rsidR="009F0711" w:rsidRDefault="009F0711" w:rsidP="006F5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42E"/>
    <w:multiLevelType w:val="hybridMultilevel"/>
    <w:tmpl w:val="F38285B4"/>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3C0D"/>
    <w:multiLevelType w:val="hybridMultilevel"/>
    <w:tmpl w:val="18E0A8A8"/>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60FB6"/>
    <w:multiLevelType w:val="hybridMultilevel"/>
    <w:tmpl w:val="CBCC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861D8"/>
    <w:multiLevelType w:val="hybridMultilevel"/>
    <w:tmpl w:val="BE3E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343C3"/>
    <w:multiLevelType w:val="hybridMultilevel"/>
    <w:tmpl w:val="B156C9C2"/>
    <w:lvl w:ilvl="0" w:tplc="957C2BD0">
      <w:start w:val="1"/>
      <w:numFmt w:val="bullet"/>
      <w:lvlText w:val="•"/>
      <w:lvlJc w:val="left"/>
      <w:pPr>
        <w:tabs>
          <w:tab w:val="num" w:pos="720"/>
        </w:tabs>
        <w:ind w:left="720" w:hanging="360"/>
      </w:pPr>
      <w:rPr>
        <w:rFonts w:ascii="Arial" w:hAnsi="Arial" w:hint="default"/>
      </w:rPr>
    </w:lvl>
    <w:lvl w:ilvl="1" w:tplc="1D0828C6" w:tentative="1">
      <w:start w:val="1"/>
      <w:numFmt w:val="bullet"/>
      <w:lvlText w:val="•"/>
      <w:lvlJc w:val="left"/>
      <w:pPr>
        <w:tabs>
          <w:tab w:val="num" w:pos="1440"/>
        </w:tabs>
        <w:ind w:left="1440" w:hanging="360"/>
      </w:pPr>
      <w:rPr>
        <w:rFonts w:ascii="Arial" w:hAnsi="Arial" w:hint="default"/>
      </w:rPr>
    </w:lvl>
    <w:lvl w:ilvl="2" w:tplc="806C0C3A" w:tentative="1">
      <w:start w:val="1"/>
      <w:numFmt w:val="bullet"/>
      <w:lvlText w:val="•"/>
      <w:lvlJc w:val="left"/>
      <w:pPr>
        <w:tabs>
          <w:tab w:val="num" w:pos="2160"/>
        </w:tabs>
        <w:ind w:left="2160" w:hanging="360"/>
      </w:pPr>
      <w:rPr>
        <w:rFonts w:ascii="Arial" w:hAnsi="Arial" w:hint="default"/>
      </w:rPr>
    </w:lvl>
    <w:lvl w:ilvl="3" w:tplc="7F6CB87E" w:tentative="1">
      <w:start w:val="1"/>
      <w:numFmt w:val="bullet"/>
      <w:lvlText w:val="•"/>
      <w:lvlJc w:val="left"/>
      <w:pPr>
        <w:tabs>
          <w:tab w:val="num" w:pos="2880"/>
        </w:tabs>
        <w:ind w:left="2880" w:hanging="360"/>
      </w:pPr>
      <w:rPr>
        <w:rFonts w:ascii="Arial" w:hAnsi="Arial" w:hint="default"/>
      </w:rPr>
    </w:lvl>
    <w:lvl w:ilvl="4" w:tplc="4860F794" w:tentative="1">
      <w:start w:val="1"/>
      <w:numFmt w:val="bullet"/>
      <w:lvlText w:val="•"/>
      <w:lvlJc w:val="left"/>
      <w:pPr>
        <w:tabs>
          <w:tab w:val="num" w:pos="3600"/>
        </w:tabs>
        <w:ind w:left="3600" w:hanging="360"/>
      </w:pPr>
      <w:rPr>
        <w:rFonts w:ascii="Arial" w:hAnsi="Arial" w:hint="default"/>
      </w:rPr>
    </w:lvl>
    <w:lvl w:ilvl="5" w:tplc="96826DDC" w:tentative="1">
      <w:start w:val="1"/>
      <w:numFmt w:val="bullet"/>
      <w:lvlText w:val="•"/>
      <w:lvlJc w:val="left"/>
      <w:pPr>
        <w:tabs>
          <w:tab w:val="num" w:pos="4320"/>
        </w:tabs>
        <w:ind w:left="4320" w:hanging="360"/>
      </w:pPr>
      <w:rPr>
        <w:rFonts w:ascii="Arial" w:hAnsi="Arial" w:hint="default"/>
      </w:rPr>
    </w:lvl>
    <w:lvl w:ilvl="6" w:tplc="2BD631E8" w:tentative="1">
      <w:start w:val="1"/>
      <w:numFmt w:val="bullet"/>
      <w:lvlText w:val="•"/>
      <w:lvlJc w:val="left"/>
      <w:pPr>
        <w:tabs>
          <w:tab w:val="num" w:pos="5040"/>
        </w:tabs>
        <w:ind w:left="5040" w:hanging="360"/>
      </w:pPr>
      <w:rPr>
        <w:rFonts w:ascii="Arial" w:hAnsi="Arial" w:hint="default"/>
      </w:rPr>
    </w:lvl>
    <w:lvl w:ilvl="7" w:tplc="05328DA6" w:tentative="1">
      <w:start w:val="1"/>
      <w:numFmt w:val="bullet"/>
      <w:lvlText w:val="•"/>
      <w:lvlJc w:val="left"/>
      <w:pPr>
        <w:tabs>
          <w:tab w:val="num" w:pos="5760"/>
        </w:tabs>
        <w:ind w:left="5760" w:hanging="360"/>
      </w:pPr>
      <w:rPr>
        <w:rFonts w:ascii="Arial" w:hAnsi="Arial" w:hint="default"/>
      </w:rPr>
    </w:lvl>
    <w:lvl w:ilvl="8" w:tplc="AD52C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B33BD7"/>
    <w:multiLevelType w:val="hybridMultilevel"/>
    <w:tmpl w:val="E4F8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A1402"/>
    <w:multiLevelType w:val="hybridMultilevel"/>
    <w:tmpl w:val="7D9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3C0B"/>
    <w:multiLevelType w:val="hybridMultilevel"/>
    <w:tmpl w:val="3E3034BE"/>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D117D"/>
    <w:multiLevelType w:val="hybridMultilevel"/>
    <w:tmpl w:val="23F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E41D1"/>
    <w:multiLevelType w:val="hybridMultilevel"/>
    <w:tmpl w:val="56322AD6"/>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D03B0"/>
    <w:multiLevelType w:val="hybridMultilevel"/>
    <w:tmpl w:val="32DA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74FC4"/>
    <w:multiLevelType w:val="hybridMultilevel"/>
    <w:tmpl w:val="0E16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27D15"/>
    <w:multiLevelType w:val="hybridMultilevel"/>
    <w:tmpl w:val="00B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74E80"/>
    <w:multiLevelType w:val="hybridMultilevel"/>
    <w:tmpl w:val="FD7A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5137C"/>
    <w:multiLevelType w:val="hybridMultilevel"/>
    <w:tmpl w:val="5D96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309DA"/>
    <w:multiLevelType w:val="hybridMultilevel"/>
    <w:tmpl w:val="42EA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E4A5E"/>
    <w:multiLevelType w:val="hybridMultilevel"/>
    <w:tmpl w:val="917A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D3BA7"/>
    <w:multiLevelType w:val="hybridMultilevel"/>
    <w:tmpl w:val="72161134"/>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D3AA4"/>
    <w:multiLevelType w:val="hybridMultilevel"/>
    <w:tmpl w:val="D65AEFC0"/>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7"/>
  </w:num>
  <w:num w:numId="5">
    <w:abstractNumId w:val="9"/>
  </w:num>
  <w:num w:numId="6">
    <w:abstractNumId w:val="0"/>
  </w:num>
  <w:num w:numId="7">
    <w:abstractNumId w:val="1"/>
  </w:num>
  <w:num w:numId="8">
    <w:abstractNumId w:val="2"/>
  </w:num>
  <w:num w:numId="9">
    <w:abstractNumId w:val="5"/>
  </w:num>
  <w:num w:numId="10">
    <w:abstractNumId w:val="11"/>
  </w:num>
  <w:num w:numId="11">
    <w:abstractNumId w:val="4"/>
  </w:num>
  <w:num w:numId="12">
    <w:abstractNumId w:val="14"/>
  </w:num>
  <w:num w:numId="13">
    <w:abstractNumId w:val="3"/>
  </w:num>
  <w:num w:numId="14">
    <w:abstractNumId w:val="16"/>
  </w:num>
  <w:num w:numId="15">
    <w:abstractNumId w:val="13"/>
  </w:num>
  <w:num w:numId="16">
    <w:abstractNumId w:val="15"/>
  </w:num>
  <w:num w:numId="17">
    <w:abstractNumId w:val="6"/>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2"/>
    <w:rsid w:val="00012A4A"/>
    <w:rsid w:val="000254F8"/>
    <w:rsid w:val="00030099"/>
    <w:rsid w:val="00030515"/>
    <w:rsid w:val="0003578A"/>
    <w:rsid w:val="00037595"/>
    <w:rsid w:val="00044127"/>
    <w:rsid w:val="000445F8"/>
    <w:rsid w:val="00055E8A"/>
    <w:rsid w:val="00056A0E"/>
    <w:rsid w:val="0006300B"/>
    <w:rsid w:val="0007281E"/>
    <w:rsid w:val="000A0689"/>
    <w:rsid w:val="000A6C41"/>
    <w:rsid w:val="000B0AFE"/>
    <w:rsid w:val="000B36B9"/>
    <w:rsid w:val="000C7DAE"/>
    <w:rsid w:val="000D0B4D"/>
    <w:rsid w:val="000E2330"/>
    <w:rsid w:val="000E2C3A"/>
    <w:rsid w:val="000E6786"/>
    <w:rsid w:val="000E6EAD"/>
    <w:rsid w:val="001257B3"/>
    <w:rsid w:val="00127C7F"/>
    <w:rsid w:val="00130EB4"/>
    <w:rsid w:val="001537F8"/>
    <w:rsid w:val="00153FDB"/>
    <w:rsid w:val="00156402"/>
    <w:rsid w:val="001579C0"/>
    <w:rsid w:val="00157EA2"/>
    <w:rsid w:val="00160A58"/>
    <w:rsid w:val="00161236"/>
    <w:rsid w:val="00166F48"/>
    <w:rsid w:val="00187790"/>
    <w:rsid w:val="00194ECE"/>
    <w:rsid w:val="00195393"/>
    <w:rsid w:val="001A7545"/>
    <w:rsid w:val="001B74A8"/>
    <w:rsid w:val="001C0B2B"/>
    <w:rsid w:val="001E7D9D"/>
    <w:rsid w:val="002279C8"/>
    <w:rsid w:val="0023401F"/>
    <w:rsid w:val="002422DF"/>
    <w:rsid w:val="0025081D"/>
    <w:rsid w:val="00250BA8"/>
    <w:rsid w:val="0025623B"/>
    <w:rsid w:val="002628E1"/>
    <w:rsid w:val="002647EB"/>
    <w:rsid w:val="00265A62"/>
    <w:rsid w:val="002668DC"/>
    <w:rsid w:val="00266EEC"/>
    <w:rsid w:val="0027191E"/>
    <w:rsid w:val="0027546C"/>
    <w:rsid w:val="00275950"/>
    <w:rsid w:val="00286F43"/>
    <w:rsid w:val="00287A6E"/>
    <w:rsid w:val="002A2B90"/>
    <w:rsid w:val="002A54D3"/>
    <w:rsid w:val="002A601B"/>
    <w:rsid w:val="002B0E24"/>
    <w:rsid w:val="002B31EE"/>
    <w:rsid w:val="002B6FEE"/>
    <w:rsid w:val="002E39B0"/>
    <w:rsid w:val="002E3B6F"/>
    <w:rsid w:val="002F12A4"/>
    <w:rsid w:val="002F5CFC"/>
    <w:rsid w:val="002F6917"/>
    <w:rsid w:val="00306B51"/>
    <w:rsid w:val="00320D5F"/>
    <w:rsid w:val="00322701"/>
    <w:rsid w:val="0033197A"/>
    <w:rsid w:val="00336A34"/>
    <w:rsid w:val="00344450"/>
    <w:rsid w:val="003460B5"/>
    <w:rsid w:val="003468B2"/>
    <w:rsid w:val="00354840"/>
    <w:rsid w:val="00357E17"/>
    <w:rsid w:val="003601C5"/>
    <w:rsid w:val="00370220"/>
    <w:rsid w:val="00375B1F"/>
    <w:rsid w:val="003821BD"/>
    <w:rsid w:val="00384358"/>
    <w:rsid w:val="003874AF"/>
    <w:rsid w:val="003878A7"/>
    <w:rsid w:val="003B30B9"/>
    <w:rsid w:val="003D1A98"/>
    <w:rsid w:val="003E6A3B"/>
    <w:rsid w:val="003F29D6"/>
    <w:rsid w:val="003F2FB8"/>
    <w:rsid w:val="004118AB"/>
    <w:rsid w:val="00412AB3"/>
    <w:rsid w:val="00412F37"/>
    <w:rsid w:val="00416732"/>
    <w:rsid w:val="00420DA6"/>
    <w:rsid w:val="00420EA9"/>
    <w:rsid w:val="00421F3F"/>
    <w:rsid w:val="00424354"/>
    <w:rsid w:val="004329B0"/>
    <w:rsid w:val="004359A2"/>
    <w:rsid w:val="0043748C"/>
    <w:rsid w:val="004654FC"/>
    <w:rsid w:val="004679E4"/>
    <w:rsid w:val="004772D8"/>
    <w:rsid w:val="00482324"/>
    <w:rsid w:val="00491CAE"/>
    <w:rsid w:val="00495ED2"/>
    <w:rsid w:val="00497724"/>
    <w:rsid w:val="004B0BE4"/>
    <w:rsid w:val="004C6A45"/>
    <w:rsid w:val="004C6DAF"/>
    <w:rsid w:val="004D432B"/>
    <w:rsid w:val="004F329C"/>
    <w:rsid w:val="005115CE"/>
    <w:rsid w:val="005145F0"/>
    <w:rsid w:val="00547977"/>
    <w:rsid w:val="0055237F"/>
    <w:rsid w:val="00570D1D"/>
    <w:rsid w:val="005739ED"/>
    <w:rsid w:val="00577831"/>
    <w:rsid w:val="00581ED3"/>
    <w:rsid w:val="00583EB9"/>
    <w:rsid w:val="005C5FD7"/>
    <w:rsid w:val="005C7A14"/>
    <w:rsid w:val="005D3721"/>
    <w:rsid w:val="005D6E68"/>
    <w:rsid w:val="005F0AA9"/>
    <w:rsid w:val="005F1CF7"/>
    <w:rsid w:val="00621E03"/>
    <w:rsid w:val="006402EC"/>
    <w:rsid w:val="00644ECF"/>
    <w:rsid w:val="00645C3E"/>
    <w:rsid w:val="006504B1"/>
    <w:rsid w:val="00655C65"/>
    <w:rsid w:val="00660F81"/>
    <w:rsid w:val="00671D24"/>
    <w:rsid w:val="00676B94"/>
    <w:rsid w:val="00676F88"/>
    <w:rsid w:val="006821A4"/>
    <w:rsid w:val="00683CAC"/>
    <w:rsid w:val="00686F5B"/>
    <w:rsid w:val="0069081C"/>
    <w:rsid w:val="006968E9"/>
    <w:rsid w:val="006A64D7"/>
    <w:rsid w:val="006C411D"/>
    <w:rsid w:val="006F595B"/>
    <w:rsid w:val="00703555"/>
    <w:rsid w:val="00713AB1"/>
    <w:rsid w:val="007208D2"/>
    <w:rsid w:val="00726CF8"/>
    <w:rsid w:val="007320CC"/>
    <w:rsid w:val="00736624"/>
    <w:rsid w:val="00741129"/>
    <w:rsid w:val="00755E4B"/>
    <w:rsid w:val="007619BA"/>
    <w:rsid w:val="007630BE"/>
    <w:rsid w:val="007639F7"/>
    <w:rsid w:val="00773E2E"/>
    <w:rsid w:val="007839AE"/>
    <w:rsid w:val="00784A92"/>
    <w:rsid w:val="007857EB"/>
    <w:rsid w:val="0079709B"/>
    <w:rsid w:val="007A6060"/>
    <w:rsid w:val="007A6BD8"/>
    <w:rsid w:val="007B047D"/>
    <w:rsid w:val="007B1B02"/>
    <w:rsid w:val="007B2206"/>
    <w:rsid w:val="007B454D"/>
    <w:rsid w:val="007B6A68"/>
    <w:rsid w:val="007C00C5"/>
    <w:rsid w:val="007C0A3C"/>
    <w:rsid w:val="007D2C53"/>
    <w:rsid w:val="007D7CD8"/>
    <w:rsid w:val="007F6A02"/>
    <w:rsid w:val="00801057"/>
    <w:rsid w:val="0080225D"/>
    <w:rsid w:val="00805903"/>
    <w:rsid w:val="00810360"/>
    <w:rsid w:val="008147E8"/>
    <w:rsid w:val="00815889"/>
    <w:rsid w:val="00826B4E"/>
    <w:rsid w:val="00834BCE"/>
    <w:rsid w:val="00835A5E"/>
    <w:rsid w:val="00847A67"/>
    <w:rsid w:val="0085246A"/>
    <w:rsid w:val="00852ADE"/>
    <w:rsid w:val="008547EA"/>
    <w:rsid w:val="008564B6"/>
    <w:rsid w:val="008755B9"/>
    <w:rsid w:val="008A301E"/>
    <w:rsid w:val="008C085D"/>
    <w:rsid w:val="008C4848"/>
    <w:rsid w:val="008D2775"/>
    <w:rsid w:val="008E08DB"/>
    <w:rsid w:val="008F106E"/>
    <w:rsid w:val="008F1843"/>
    <w:rsid w:val="008F65D5"/>
    <w:rsid w:val="009014F4"/>
    <w:rsid w:val="00901FAD"/>
    <w:rsid w:val="00913610"/>
    <w:rsid w:val="00925FB1"/>
    <w:rsid w:val="00933250"/>
    <w:rsid w:val="009344F9"/>
    <w:rsid w:val="00935BBA"/>
    <w:rsid w:val="0095240E"/>
    <w:rsid w:val="00953416"/>
    <w:rsid w:val="00953F51"/>
    <w:rsid w:val="00973AF4"/>
    <w:rsid w:val="00983D92"/>
    <w:rsid w:val="009870C5"/>
    <w:rsid w:val="009916CC"/>
    <w:rsid w:val="009A52C0"/>
    <w:rsid w:val="009B0FF7"/>
    <w:rsid w:val="009B2AE0"/>
    <w:rsid w:val="009B3DE7"/>
    <w:rsid w:val="009B64F0"/>
    <w:rsid w:val="009C10F8"/>
    <w:rsid w:val="009C70C9"/>
    <w:rsid w:val="009D4B54"/>
    <w:rsid w:val="009E025F"/>
    <w:rsid w:val="009E33F8"/>
    <w:rsid w:val="009F0711"/>
    <w:rsid w:val="00A00838"/>
    <w:rsid w:val="00A25184"/>
    <w:rsid w:val="00A35B31"/>
    <w:rsid w:val="00A41770"/>
    <w:rsid w:val="00A43440"/>
    <w:rsid w:val="00A60512"/>
    <w:rsid w:val="00A653E9"/>
    <w:rsid w:val="00A7043C"/>
    <w:rsid w:val="00A717FE"/>
    <w:rsid w:val="00A8027A"/>
    <w:rsid w:val="00A8615A"/>
    <w:rsid w:val="00A91D42"/>
    <w:rsid w:val="00A91E3D"/>
    <w:rsid w:val="00A9321C"/>
    <w:rsid w:val="00AA04D4"/>
    <w:rsid w:val="00AA71C2"/>
    <w:rsid w:val="00AB6093"/>
    <w:rsid w:val="00AB60B8"/>
    <w:rsid w:val="00AB61EF"/>
    <w:rsid w:val="00AC0415"/>
    <w:rsid w:val="00AC173B"/>
    <w:rsid w:val="00AC3F49"/>
    <w:rsid w:val="00AD41FA"/>
    <w:rsid w:val="00AF0245"/>
    <w:rsid w:val="00AF5E23"/>
    <w:rsid w:val="00B073CB"/>
    <w:rsid w:val="00B17202"/>
    <w:rsid w:val="00B41E08"/>
    <w:rsid w:val="00B435F9"/>
    <w:rsid w:val="00B50461"/>
    <w:rsid w:val="00B5461F"/>
    <w:rsid w:val="00B600DA"/>
    <w:rsid w:val="00B80FE6"/>
    <w:rsid w:val="00B940DB"/>
    <w:rsid w:val="00BB306C"/>
    <w:rsid w:val="00BB4065"/>
    <w:rsid w:val="00BC3CC4"/>
    <w:rsid w:val="00BC5C1F"/>
    <w:rsid w:val="00BC5D2E"/>
    <w:rsid w:val="00BF606F"/>
    <w:rsid w:val="00BF61ED"/>
    <w:rsid w:val="00BF7E31"/>
    <w:rsid w:val="00C04035"/>
    <w:rsid w:val="00C16BC1"/>
    <w:rsid w:val="00C2118B"/>
    <w:rsid w:val="00C33ECA"/>
    <w:rsid w:val="00C42ECE"/>
    <w:rsid w:val="00C46D17"/>
    <w:rsid w:val="00C56526"/>
    <w:rsid w:val="00C615E5"/>
    <w:rsid w:val="00C77D47"/>
    <w:rsid w:val="00C823E7"/>
    <w:rsid w:val="00C82E01"/>
    <w:rsid w:val="00C94AD9"/>
    <w:rsid w:val="00CA6B3E"/>
    <w:rsid w:val="00CA7EE6"/>
    <w:rsid w:val="00CB1467"/>
    <w:rsid w:val="00CB2DB4"/>
    <w:rsid w:val="00CB54E2"/>
    <w:rsid w:val="00CB6AC2"/>
    <w:rsid w:val="00CB77C0"/>
    <w:rsid w:val="00CC0F45"/>
    <w:rsid w:val="00CC5608"/>
    <w:rsid w:val="00CC61D4"/>
    <w:rsid w:val="00CD1AAE"/>
    <w:rsid w:val="00D06A47"/>
    <w:rsid w:val="00D13DFE"/>
    <w:rsid w:val="00D20499"/>
    <w:rsid w:val="00D26B5A"/>
    <w:rsid w:val="00D312AA"/>
    <w:rsid w:val="00D31AA9"/>
    <w:rsid w:val="00D33FCA"/>
    <w:rsid w:val="00D4201E"/>
    <w:rsid w:val="00D4482B"/>
    <w:rsid w:val="00D52B7E"/>
    <w:rsid w:val="00D63A47"/>
    <w:rsid w:val="00D8632E"/>
    <w:rsid w:val="00D909BE"/>
    <w:rsid w:val="00DA73E0"/>
    <w:rsid w:val="00DB4EF2"/>
    <w:rsid w:val="00DC7E26"/>
    <w:rsid w:val="00DD3414"/>
    <w:rsid w:val="00DD4421"/>
    <w:rsid w:val="00DE07F3"/>
    <w:rsid w:val="00DF7BC7"/>
    <w:rsid w:val="00E068FC"/>
    <w:rsid w:val="00E23D78"/>
    <w:rsid w:val="00E3436D"/>
    <w:rsid w:val="00E34A50"/>
    <w:rsid w:val="00E351CF"/>
    <w:rsid w:val="00E42ED0"/>
    <w:rsid w:val="00E4644D"/>
    <w:rsid w:val="00E51EC9"/>
    <w:rsid w:val="00E54BDB"/>
    <w:rsid w:val="00E561B7"/>
    <w:rsid w:val="00E62043"/>
    <w:rsid w:val="00E772B3"/>
    <w:rsid w:val="00E85080"/>
    <w:rsid w:val="00EA18EC"/>
    <w:rsid w:val="00EA196E"/>
    <w:rsid w:val="00EA36B2"/>
    <w:rsid w:val="00EB1A1D"/>
    <w:rsid w:val="00EB3CFE"/>
    <w:rsid w:val="00EB7D07"/>
    <w:rsid w:val="00EC2EB5"/>
    <w:rsid w:val="00ED360D"/>
    <w:rsid w:val="00EE284A"/>
    <w:rsid w:val="00EE2AE0"/>
    <w:rsid w:val="00EE2E12"/>
    <w:rsid w:val="00EE49F2"/>
    <w:rsid w:val="00EE5176"/>
    <w:rsid w:val="00EE527F"/>
    <w:rsid w:val="00EF0F40"/>
    <w:rsid w:val="00EF1355"/>
    <w:rsid w:val="00F0003A"/>
    <w:rsid w:val="00F04485"/>
    <w:rsid w:val="00F050C0"/>
    <w:rsid w:val="00F1464B"/>
    <w:rsid w:val="00F22CEC"/>
    <w:rsid w:val="00F32545"/>
    <w:rsid w:val="00F46F4E"/>
    <w:rsid w:val="00F50056"/>
    <w:rsid w:val="00F57D57"/>
    <w:rsid w:val="00F75348"/>
    <w:rsid w:val="00F759C8"/>
    <w:rsid w:val="00F85F24"/>
    <w:rsid w:val="00F92B43"/>
    <w:rsid w:val="00F93E2D"/>
    <w:rsid w:val="00FA04D2"/>
    <w:rsid w:val="00FA2C55"/>
    <w:rsid w:val="00FD3F8F"/>
    <w:rsid w:val="00FD4F42"/>
    <w:rsid w:val="00FD514C"/>
    <w:rsid w:val="00FD751B"/>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62FD44"/>
  <w15:docId w15:val="{0B782E08-85D3-4C1E-8D12-B266BA19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E2E"/>
    <w:pPr>
      <w:ind w:left="720"/>
      <w:contextualSpacing/>
    </w:pPr>
  </w:style>
  <w:style w:type="paragraph" w:styleId="FootnoteText">
    <w:name w:val="footnote text"/>
    <w:basedOn w:val="Normal"/>
    <w:link w:val="FootnoteTextChar"/>
    <w:uiPriority w:val="99"/>
    <w:semiHidden/>
    <w:unhideWhenUsed/>
    <w:rsid w:val="006F5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95B"/>
    <w:rPr>
      <w:sz w:val="20"/>
      <w:szCs w:val="20"/>
    </w:rPr>
  </w:style>
  <w:style w:type="character" w:styleId="FootnoteReference">
    <w:name w:val="footnote reference"/>
    <w:basedOn w:val="DefaultParagraphFont"/>
    <w:uiPriority w:val="99"/>
    <w:semiHidden/>
    <w:unhideWhenUsed/>
    <w:rsid w:val="006F595B"/>
    <w:rPr>
      <w:vertAlign w:val="superscript"/>
    </w:rPr>
  </w:style>
  <w:style w:type="paragraph" w:styleId="BalloonText">
    <w:name w:val="Balloon Text"/>
    <w:basedOn w:val="Normal"/>
    <w:link w:val="BalloonTextChar"/>
    <w:uiPriority w:val="99"/>
    <w:semiHidden/>
    <w:unhideWhenUsed/>
    <w:rsid w:val="0068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AC"/>
    <w:rPr>
      <w:rFonts w:ascii="Segoe UI" w:hAnsi="Segoe UI" w:cs="Segoe UI"/>
      <w:sz w:val="18"/>
      <w:szCs w:val="18"/>
    </w:rPr>
  </w:style>
  <w:style w:type="character" w:styleId="CommentReference">
    <w:name w:val="annotation reference"/>
    <w:basedOn w:val="DefaultParagraphFont"/>
    <w:uiPriority w:val="99"/>
    <w:semiHidden/>
    <w:unhideWhenUsed/>
    <w:rsid w:val="00A717FE"/>
    <w:rPr>
      <w:sz w:val="16"/>
      <w:szCs w:val="16"/>
    </w:rPr>
  </w:style>
  <w:style w:type="paragraph" w:styleId="CommentText">
    <w:name w:val="annotation text"/>
    <w:basedOn w:val="Normal"/>
    <w:link w:val="CommentTextChar"/>
    <w:uiPriority w:val="99"/>
    <w:semiHidden/>
    <w:unhideWhenUsed/>
    <w:rsid w:val="00A717FE"/>
    <w:pPr>
      <w:spacing w:line="240" w:lineRule="auto"/>
    </w:pPr>
    <w:rPr>
      <w:sz w:val="20"/>
      <w:szCs w:val="20"/>
    </w:rPr>
  </w:style>
  <w:style w:type="character" w:customStyle="1" w:styleId="CommentTextChar">
    <w:name w:val="Comment Text Char"/>
    <w:basedOn w:val="DefaultParagraphFont"/>
    <w:link w:val="CommentText"/>
    <w:uiPriority w:val="99"/>
    <w:semiHidden/>
    <w:rsid w:val="00A717FE"/>
    <w:rPr>
      <w:sz w:val="20"/>
      <w:szCs w:val="20"/>
    </w:rPr>
  </w:style>
  <w:style w:type="paragraph" w:styleId="CommentSubject">
    <w:name w:val="annotation subject"/>
    <w:basedOn w:val="CommentText"/>
    <w:next w:val="CommentText"/>
    <w:link w:val="CommentSubjectChar"/>
    <w:uiPriority w:val="99"/>
    <w:semiHidden/>
    <w:unhideWhenUsed/>
    <w:rsid w:val="00A717FE"/>
    <w:rPr>
      <w:b/>
      <w:bCs/>
    </w:rPr>
  </w:style>
  <w:style w:type="character" w:customStyle="1" w:styleId="CommentSubjectChar">
    <w:name w:val="Comment Subject Char"/>
    <w:basedOn w:val="CommentTextChar"/>
    <w:link w:val="CommentSubject"/>
    <w:uiPriority w:val="99"/>
    <w:semiHidden/>
    <w:rsid w:val="00A717FE"/>
    <w:rPr>
      <w:b/>
      <w:bCs/>
      <w:sz w:val="20"/>
      <w:szCs w:val="20"/>
    </w:rPr>
  </w:style>
  <w:style w:type="paragraph" w:styleId="Revision">
    <w:name w:val="Revision"/>
    <w:hidden/>
    <w:uiPriority w:val="99"/>
    <w:semiHidden/>
    <w:rsid w:val="004679E4"/>
    <w:pPr>
      <w:spacing w:after="0" w:line="240" w:lineRule="auto"/>
    </w:pPr>
  </w:style>
  <w:style w:type="paragraph" w:styleId="Header">
    <w:name w:val="header"/>
    <w:basedOn w:val="Normal"/>
    <w:link w:val="HeaderChar"/>
    <w:uiPriority w:val="99"/>
    <w:unhideWhenUsed/>
    <w:rsid w:val="006A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D7"/>
  </w:style>
  <w:style w:type="paragraph" w:styleId="Footer">
    <w:name w:val="footer"/>
    <w:basedOn w:val="Normal"/>
    <w:link w:val="FooterChar"/>
    <w:uiPriority w:val="99"/>
    <w:unhideWhenUsed/>
    <w:rsid w:val="006A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D7"/>
  </w:style>
  <w:style w:type="table" w:styleId="TableGrid">
    <w:name w:val="Table Grid"/>
    <w:basedOn w:val="TableNormal"/>
    <w:uiPriority w:val="39"/>
    <w:rsid w:val="00A9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F48"/>
    <w:rPr>
      <w:color w:val="0563C1" w:themeColor="hyperlink"/>
      <w:u w:val="single"/>
    </w:rPr>
  </w:style>
  <w:style w:type="character" w:customStyle="1" w:styleId="UnresolvedMention1">
    <w:name w:val="Unresolved Mention1"/>
    <w:basedOn w:val="DefaultParagraphFont"/>
    <w:uiPriority w:val="99"/>
    <w:semiHidden/>
    <w:unhideWhenUsed/>
    <w:rsid w:val="00166F48"/>
    <w:rPr>
      <w:color w:val="808080"/>
      <w:shd w:val="clear" w:color="auto" w:fill="E6E6E6"/>
    </w:rPr>
  </w:style>
  <w:style w:type="paragraph" w:styleId="NormalWeb">
    <w:name w:val="Normal (Web)"/>
    <w:basedOn w:val="Normal"/>
    <w:uiPriority w:val="99"/>
    <w:semiHidden/>
    <w:unhideWhenUsed/>
    <w:rsid w:val="00EE517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3821BD"/>
    <w:pPr>
      <w:spacing w:after="200" w:line="240" w:lineRule="auto"/>
    </w:pPr>
    <w:rPr>
      <w:b/>
      <w:bCs/>
      <w:color w:val="4472C4" w:themeColor="accent1"/>
      <w:sz w:val="18"/>
      <w:szCs w:val="18"/>
    </w:rPr>
  </w:style>
  <w:style w:type="paragraph" w:styleId="NoSpacing">
    <w:name w:val="No Spacing"/>
    <w:uiPriority w:val="1"/>
    <w:qFormat/>
    <w:rsid w:val="00A43440"/>
    <w:pPr>
      <w:spacing w:after="0" w:line="240" w:lineRule="auto"/>
    </w:pPr>
  </w:style>
  <w:style w:type="paragraph" w:customStyle="1" w:styleId="label">
    <w:name w:val="label"/>
    <w:basedOn w:val="Normal"/>
    <w:rsid w:val="005F1C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5A5E"/>
    <w:rPr>
      <w:i/>
      <w:iCs/>
    </w:rPr>
  </w:style>
  <w:style w:type="paragraph" w:customStyle="1" w:styleId="body">
    <w:name w:val="body"/>
    <w:basedOn w:val="Normal"/>
    <w:rsid w:val="00FD3F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A67"/>
    <w:rPr>
      <w:b/>
      <w:bCs/>
    </w:rPr>
  </w:style>
  <w:style w:type="character" w:customStyle="1" w:styleId="apple-tab-span">
    <w:name w:val="apple-tab-span"/>
    <w:basedOn w:val="DefaultParagraphFont"/>
    <w:rsid w:val="00CD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753">
      <w:bodyDiv w:val="1"/>
      <w:marLeft w:val="0"/>
      <w:marRight w:val="0"/>
      <w:marTop w:val="0"/>
      <w:marBottom w:val="0"/>
      <w:divBdr>
        <w:top w:val="none" w:sz="0" w:space="0" w:color="auto"/>
        <w:left w:val="none" w:sz="0" w:space="0" w:color="auto"/>
        <w:bottom w:val="none" w:sz="0" w:space="0" w:color="auto"/>
        <w:right w:val="none" w:sz="0" w:space="0" w:color="auto"/>
      </w:divBdr>
    </w:div>
    <w:div w:id="41906000">
      <w:bodyDiv w:val="1"/>
      <w:marLeft w:val="0"/>
      <w:marRight w:val="0"/>
      <w:marTop w:val="0"/>
      <w:marBottom w:val="0"/>
      <w:divBdr>
        <w:top w:val="none" w:sz="0" w:space="0" w:color="auto"/>
        <w:left w:val="none" w:sz="0" w:space="0" w:color="auto"/>
        <w:bottom w:val="none" w:sz="0" w:space="0" w:color="auto"/>
        <w:right w:val="none" w:sz="0" w:space="0" w:color="auto"/>
      </w:divBdr>
      <w:divsChild>
        <w:div w:id="1573928474">
          <w:marLeft w:val="0"/>
          <w:marRight w:val="0"/>
          <w:marTop w:val="0"/>
          <w:marBottom w:val="160"/>
          <w:divBdr>
            <w:top w:val="none" w:sz="0" w:space="0" w:color="auto"/>
            <w:left w:val="none" w:sz="0" w:space="0" w:color="auto"/>
            <w:bottom w:val="none" w:sz="0" w:space="0" w:color="auto"/>
            <w:right w:val="none" w:sz="0" w:space="0" w:color="auto"/>
          </w:divBdr>
        </w:div>
      </w:divsChild>
    </w:div>
    <w:div w:id="47077719">
      <w:bodyDiv w:val="1"/>
      <w:marLeft w:val="0"/>
      <w:marRight w:val="0"/>
      <w:marTop w:val="0"/>
      <w:marBottom w:val="0"/>
      <w:divBdr>
        <w:top w:val="none" w:sz="0" w:space="0" w:color="auto"/>
        <w:left w:val="none" w:sz="0" w:space="0" w:color="auto"/>
        <w:bottom w:val="none" w:sz="0" w:space="0" w:color="auto"/>
        <w:right w:val="none" w:sz="0" w:space="0" w:color="auto"/>
      </w:divBdr>
      <w:divsChild>
        <w:div w:id="1979994811">
          <w:marLeft w:val="0"/>
          <w:marRight w:val="0"/>
          <w:marTop w:val="0"/>
          <w:marBottom w:val="0"/>
          <w:divBdr>
            <w:top w:val="none" w:sz="0" w:space="0" w:color="auto"/>
            <w:left w:val="none" w:sz="0" w:space="0" w:color="auto"/>
            <w:bottom w:val="none" w:sz="0" w:space="0" w:color="auto"/>
            <w:right w:val="none" w:sz="0" w:space="0" w:color="auto"/>
          </w:divBdr>
          <w:divsChild>
            <w:div w:id="935089061">
              <w:marLeft w:val="0"/>
              <w:marRight w:val="0"/>
              <w:marTop w:val="0"/>
              <w:marBottom w:val="0"/>
              <w:divBdr>
                <w:top w:val="none" w:sz="0" w:space="0" w:color="auto"/>
                <w:left w:val="none" w:sz="0" w:space="0" w:color="auto"/>
                <w:bottom w:val="none" w:sz="0" w:space="0" w:color="auto"/>
                <w:right w:val="none" w:sz="0" w:space="0" w:color="auto"/>
              </w:divBdr>
              <w:divsChild>
                <w:div w:id="1537352998">
                  <w:marLeft w:val="0"/>
                  <w:marRight w:val="0"/>
                  <w:marTop w:val="0"/>
                  <w:marBottom w:val="0"/>
                  <w:divBdr>
                    <w:top w:val="none" w:sz="0" w:space="0" w:color="auto"/>
                    <w:left w:val="none" w:sz="0" w:space="0" w:color="auto"/>
                    <w:bottom w:val="none" w:sz="0" w:space="0" w:color="auto"/>
                    <w:right w:val="none" w:sz="0" w:space="0" w:color="auto"/>
                  </w:divBdr>
                  <w:divsChild>
                    <w:div w:id="1154221589">
                      <w:marLeft w:val="0"/>
                      <w:marRight w:val="0"/>
                      <w:marTop w:val="0"/>
                      <w:marBottom w:val="300"/>
                      <w:divBdr>
                        <w:top w:val="none" w:sz="0" w:space="0" w:color="auto"/>
                        <w:left w:val="none" w:sz="0" w:space="0" w:color="auto"/>
                        <w:bottom w:val="none" w:sz="0" w:space="0" w:color="auto"/>
                        <w:right w:val="none" w:sz="0" w:space="0" w:color="auto"/>
                      </w:divBdr>
                      <w:divsChild>
                        <w:div w:id="53312836">
                          <w:marLeft w:val="0"/>
                          <w:marRight w:val="0"/>
                          <w:marTop w:val="0"/>
                          <w:marBottom w:val="0"/>
                          <w:divBdr>
                            <w:top w:val="none" w:sz="0" w:space="0" w:color="auto"/>
                            <w:left w:val="none" w:sz="0" w:space="0" w:color="auto"/>
                            <w:bottom w:val="none" w:sz="0" w:space="0" w:color="auto"/>
                            <w:right w:val="none" w:sz="0" w:space="0" w:color="auto"/>
                          </w:divBdr>
                          <w:divsChild>
                            <w:div w:id="1627658006">
                              <w:marLeft w:val="0"/>
                              <w:marRight w:val="0"/>
                              <w:marTop w:val="0"/>
                              <w:marBottom w:val="0"/>
                              <w:divBdr>
                                <w:top w:val="none" w:sz="0" w:space="0" w:color="auto"/>
                                <w:left w:val="none" w:sz="0" w:space="0" w:color="auto"/>
                                <w:bottom w:val="none" w:sz="0" w:space="0" w:color="auto"/>
                                <w:right w:val="none" w:sz="0" w:space="0" w:color="auto"/>
                              </w:divBdr>
                              <w:divsChild>
                                <w:div w:id="1225483767">
                                  <w:marLeft w:val="0"/>
                                  <w:marRight w:val="1500"/>
                                  <w:marTop w:val="0"/>
                                  <w:marBottom w:val="0"/>
                                  <w:divBdr>
                                    <w:top w:val="none" w:sz="0" w:space="0" w:color="auto"/>
                                    <w:left w:val="none" w:sz="0" w:space="0" w:color="auto"/>
                                    <w:bottom w:val="none" w:sz="0" w:space="0" w:color="auto"/>
                                    <w:right w:val="none" w:sz="0" w:space="0" w:color="auto"/>
                                  </w:divBdr>
                                </w:div>
                              </w:divsChild>
                            </w:div>
                            <w:div w:id="9185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801673">
      <w:bodyDiv w:val="1"/>
      <w:marLeft w:val="0"/>
      <w:marRight w:val="0"/>
      <w:marTop w:val="0"/>
      <w:marBottom w:val="0"/>
      <w:divBdr>
        <w:top w:val="none" w:sz="0" w:space="0" w:color="auto"/>
        <w:left w:val="none" w:sz="0" w:space="0" w:color="auto"/>
        <w:bottom w:val="none" w:sz="0" w:space="0" w:color="auto"/>
        <w:right w:val="none" w:sz="0" w:space="0" w:color="auto"/>
      </w:divBdr>
      <w:divsChild>
        <w:div w:id="1923055204">
          <w:marLeft w:val="547"/>
          <w:marRight w:val="0"/>
          <w:marTop w:val="160"/>
          <w:marBottom w:val="0"/>
          <w:divBdr>
            <w:top w:val="none" w:sz="0" w:space="0" w:color="auto"/>
            <w:left w:val="none" w:sz="0" w:space="0" w:color="auto"/>
            <w:bottom w:val="none" w:sz="0" w:space="0" w:color="auto"/>
            <w:right w:val="none" w:sz="0" w:space="0" w:color="auto"/>
          </w:divBdr>
        </w:div>
        <w:div w:id="2001544044">
          <w:marLeft w:val="547"/>
          <w:marRight w:val="0"/>
          <w:marTop w:val="160"/>
          <w:marBottom w:val="0"/>
          <w:divBdr>
            <w:top w:val="none" w:sz="0" w:space="0" w:color="auto"/>
            <w:left w:val="none" w:sz="0" w:space="0" w:color="auto"/>
            <w:bottom w:val="none" w:sz="0" w:space="0" w:color="auto"/>
            <w:right w:val="none" w:sz="0" w:space="0" w:color="auto"/>
          </w:divBdr>
        </w:div>
        <w:div w:id="773398493">
          <w:marLeft w:val="547"/>
          <w:marRight w:val="0"/>
          <w:marTop w:val="160"/>
          <w:marBottom w:val="0"/>
          <w:divBdr>
            <w:top w:val="none" w:sz="0" w:space="0" w:color="auto"/>
            <w:left w:val="none" w:sz="0" w:space="0" w:color="auto"/>
            <w:bottom w:val="none" w:sz="0" w:space="0" w:color="auto"/>
            <w:right w:val="none" w:sz="0" w:space="0" w:color="auto"/>
          </w:divBdr>
        </w:div>
        <w:div w:id="2053269241">
          <w:marLeft w:val="547"/>
          <w:marRight w:val="0"/>
          <w:marTop w:val="160"/>
          <w:marBottom w:val="0"/>
          <w:divBdr>
            <w:top w:val="none" w:sz="0" w:space="0" w:color="auto"/>
            <w:left w:val="none" w:sz="0" w:space="0" w:color="auto"/>
            <w:bottom w:val="none" w:sz="0" w:space="0" w:color="auto"/>
            <w:right w:val="none" w:sz="0" w:space="0" w:color="auto"/>
          </w:divBdr>
        </w:div>
      </w:divsChild>
    </w:div>
    <w:div w:id="360517387">
      <w:bodyDiv w:val="1"/>
      <w:marLeft w:val="0"/>
      <w:marRight w:val="0"/>
      <w:marTop w:val="0"/>
      <w:marBottom w:val="0"/>
      <w:divBdr>
        <w:top w:val="none" w:sz="0" w:space="0" w:color="auto"/>
        <w:left w:val="none" w:sz="0" w:space="0" w:color="auto"/>
        <w:bottom w:val="none" w:sz="0" w:space="0" w:color="auto"/>
        <w:right w:val="none" w:sz="0" w:space="0" w:color="auto"/>
      </w:divBdr>
    </w:div>
    <w:div w:id="438765832">
      <w:bodyDiv w:val="1"/>
      <w:marLeft w:val="0"/>
      <w:marRight w:val="0"/>
      <w:marTop w:val="0"/>
      <w:marBottom w:val="0"/>
      <w:divBdr>
        <w:top w:val="none" w:sz="0" w:space="0" w:color="auto"/>
        <w:left w:val="none" w:sz="0" w:space="0" w:color="auto"/>
        <w:bottom w:val="none" w:sz="0" w:space="0" w:color="auto"/>
        <w:right w:val="none" w:sz="0" w:space="0" w:color="auto"/>
      </w:divBdr>
    </w:div>
    <w:div w:id="544413786">
      <w:bodyDiv w:val="1"/>
      <w:marLeft w:val="0"/>
      <w:marRight w:val="0"/>
      <w:marTop w:val="0"/>
      <w:marBottom w:val="0"/>
      <w:divBdr>
        <w:top w:val="none" w:sz="0" w:space="0" w:color="auto"/>
        <w:left w:val="none" w:sz="0" w:space="0" w:color="auto"/>
        <w:bottom w:val="none" w:sz="0" w:space="0" w:color="auto"/>
        <w:right w:val="none" w:sz="0" w:space="0" w:color="auto"/>
      </w:divBdr>
      <w:divsChild>
        <w:div w:id="1834030876">
          <w:marLeft w:val="0"/>
          <w:marRight w:val="0"/>
          <w:marTop w:val="0"/>
          <w:marBottom w:val="0"/>
          <w:divBdr>
            <w:top w:val="none" w:sz="0" w:space="0" w:color="auto"/>
            <w:left w:val="none" w:sz="0" w:space="0" w:color="auto"/>
            <w:bottom w:val="none" w:sz="0" w:space="0" w:color="auto"/>
            <w:right w:val="none" w:sz="0" w:space="0" w:color="auto"/>
          </w:divBdr>
        </w:div>
      </w:divsChild>
    </w:div>
    <w:div w:id="872621162">
      <w:bodyDiv w:val="1"/>
      <w:marLeft w:val="0"/>
      <w:marRight w:val="0"/>
      <w:marTop w:val="0"/>
      <w:marBottom w:val="0"/>
      <w:divBdr>
        <w:top w:val="none" w:sz="0" w:space="0" w:color="auto"/>
        <w:left w:val="none" w:sz="0" w:space="0" w:color="auto"/>
        <w:bottom w:val="none" w:sz="0" w:space="0" w:color="auto"/>
        <w:right w:val="none" w:sz="0" w:space="0" w:color="auto"/>
      </w:divBdr>
      <w:divsChild>
        <w:div w:id="1522666064">
          <w:marLeft w:val="274"/>
          <w:marRight w:val="0"/>
          <w:marTop w:val="0"/>
          <w:marBottom w:val="0"/>
          <w:divBdr>
            <w:top w:val="none" w:sz="0" w:space="0" w:color="auto"/>
            <w:left w:val="none" w:sz="0" w:space="0" w:color="auto"/>
            <w:bottom w:val="none" w:sz="0" w:space="0" w:color="auto"/>
            <w:right w:val="none" w:sz="0" w:space="0" w:color="auto"/>
          </w:divBdr>
        </w:div>
      </w:divsChild>
    </w:div>
    <w:div w:id="886452501">
      <w:bodyDiv w:val="1"/>
      <w:marLeft w:val="0"/>
      <w:marRight w:val="0"/>
      <w:marTop w:val="0"/>
      <w:marBottom w:val="0"/>
      <w:divBdr>
        <w:top w:val="none" w:sz="0" w:space="0" w:color="auto"/>
        <w:left w:val="none" w:sz="0" w:space="0" w:color="auto"/>
        <w:bottom w:val="none" w:sz="0" w:space="0" w:color="auto"/>
        <w:right w:val="none" w:sz="0" w:space="0" w:color="auto"/>
      </w:divBdr>
    </w:div>
    <w:div w:id="1004283662">
      <w:bodyDiv w:val="1"/>
      <w:marLeft w:val="0"/>
      <w:marRight w:val="0"/>
      <w:marTop w:val="0"/>
      <w:marBottom w:val="0"/>
      <w:divBdr>
        <w:top w:val="none" w:sz="0" w:space="0" w:color="auto"/>
        <w:left w:val="none" w:sz="0" w:space="0" w:color="auto"/>
        <w:bottom w:val="none" w:sz="0" w:space="0" w:color="auto"/>
        <w:right w:val="none" w:sz="0" w:space="0" w:color="auto"/>
      </w:divBdr>
      <w:divsChild>
        <w:div w:id="1817449722">
          <w:marLeft w:val="0"/>
          <w:marRight w:val="0"/>
          <w:marTop w:val="0"/>
          <w:marBottom w:val="0"/>
          <w:divBdr>
            <w:top w:val="none" w:sz="0" w:space="0" w:color="auto"/>
            <w:left w:val="none" w:sz="0" w:space="0" w:color="auto"/>
            <w:bottom w:val="none" w:sz="0" w:space="0" w:color="auto"/>
            <w:right w:val="none" w:sz="0" w:space="0" w:color="auto"/>
          </w:divBdr>
        </w:div>
      </w:divsChild>
    </w:div>
    <w:div w:id="1159542699">
      <w:bodyDiv w:val="1"/>
      <w:marLeft w:val="0"/>
      <w:marRight w:val="0"/>
      <w:marTop w:val="0"/>
      <w:marBottom w:val="0"/>
      <w:divBdr>
        <w:top w:val="none" w:sz="0" w:space="0" w:color="auto"/>
        <w:left w:val="none" w:sz="0" w:space="0" w:color="auto"/>
        <w:bottom w:val="none" w:sz="0" w:space="0" w:color="auto"/>
        <w:right w:val="none" w:sz="0" w:space="0" w:color="auto"/>
      </w:divBdr>
    </w:div>
    <w:div w:id="1239369086">
      <w:bodyDiv w:val="1"/>
      <w:marLeft w:val="0"/>
      <w:marRight w:val="0"/>
      <w:marTop w:val="0"/>
      <w:marBottom w:val="0"/>
      <w:divBdr>
        <w:top w:val="none" w:sz="0" w:space="0" w:color="auto"/>
        <w:left w:val="none" w:sz="0" w:space="0" w:color="auto"/>
        <w:bottom w:val="none" w:sz="0" w:space="0" w:color="auto"/>
        <w:right w:val="none" w:sz="0" w:space="0" w:color="auto"/>
      </w:divBdr>
    </w:div>
    <w:div w:id="1268580383">
      <w:bodyDiv w:val="1"/>
      <w:marLeft w:val="0"/>
      <w:marRight w:val="0"/>
      <w:marTop w:val="0"/>
      <w:marBottom w:val="0"/>
      <w:divBdr>
        <w:top w:val="none" w:sz="0" w:space="0" w:color="auto"/>
        <w:left w:val="none" w:sz="0" w:space="0" w:color="auto"/>
        <w:bottom w:val="none" w:sz="0" w:space="0" w:color="auto"/>
        <w:right w:val="none" w:sz="0" w:space="0" w:color="auto"/>
      </w:divBdr>
      <w:divsChild>
        <w:div w:id="508258161">
          <w:marLeft w:val="547"/>
          <w:marRight w:val="0"/>
          <w:marTop w:val="160"/>
          <w:marBottom w:val="0"/>
          <w:divBdr>
            <w:top w:val="none" w:sz="0" w:space="0" w:color="auto"/>
            <w:left w:val="none" w:sz="0" w:space="0" w:color="auto"/>
            <w:bottom w:val="none" w:sz="0" w:space="0" w:color="auto"/>
            <w:right w:val="none" w:sz="0" w:space="0" w:color="auto"/>
          </w:divBdr>
        </w:div>
        <w:div w:id="1260793861">
          <w:marLeft w:val="1166"/>
          <w:marRight w:val="0"/>
          <w:marTop w:val="160"/>
          <w:marBottom w:val="0"/>
          <w:divBdr>
            <w:top w:val="none" w:sz="0" w:space="0" w:color="auto"/>
            <w:left w:val="none" w:sz="0" w:space="0" w:color="auto"/>
            <w:bottom w:val="none" w:sz="0" w:space="0" w:color="auto"/>
            <w:right w:val="none" w:sz="0" w:space="0" w:color="auto"/>
          </w:divBdr>
        </w:div>
        <w:div w:id="1815564598">
          <w:marLeft w:val="1800"/>
          <w:marRight w:val="0"/>
          <w:marTop w:val="160"/>
          <w:marBottom w:val="0"/>
          <w:divBdr>
            <w:top w:val="none" w:sz="0" w:space="0" w:color="auto"/>
            <w:left w:val="none" w:sz="0" w:space="0" w:color="auto"/>
            <w:bottom w:val="none" w:sz="0" w:space="0" w:color="auto"/>
            <w:right w:val="none" w:sz="0" w:space="0" w:color="auto"/>
          </w:divBdr>
        </w:div>
        <w:div w:id="476846014">
          <w:marLeft w:val="1800"/>
          <w:marRight w:val="0"/>
          <w:marTop w:val="160"/>
          <w:marBottom w:val="0"/>
          <w:divBdr>
            <w:top w:val="none" w:sz="0" w:space="0" w:color="auto"/>
            <w:left w:val="none" w:sz="0" w:space="0" w:color="auto"/>
            <w:bottom w:val="none" w:sz="0" w:space="0" w:color="auto"/>
            <w:right w:val="none" w:sz="0" w:space="0" w:color="auto"/>
          </w:divBdr>
        </w:div>
        <w:div w:id="903373169">
          <w:marLeft w:val="1166"/>
          <w:marRight w:val="0"/>
          <w:marTop w:val="160"/>
          <w:marBottom w:val="0"/>
          <w:divBdr>
            <w:top w:val="none" w:sz="0" w:space="0" w:color="auto"/>
            <w:left w:val="none" w:sz="0" w:space="0" w:color="auto"/>
            <w:bottom w:val="none" w:sz="0" w:space="0" w:color="auto"/>
            <w:right w:val="none" w:sz="0" w:space="0" w:color="auto"/>
          </w:divBdr>
        </w:div>
        <w:div w:id="1156921799">
          <w:marLeft w:val="547"/>
          <w:marRight w:val="0"/>
          <w:marTop w:val="160"/>
          <w:marBottom w:val="0"/>
          <w:divBdr>
            <w:top w:val="none" w:sz="0" w:space="0" w:color="auto"/>
            <w:left w:val="none" w:sz="0" w:space="0" w:color="auto"/>
            <w:bottom w:val="none" w:sz="0" w:space="0" w:color="auto"/>
            <w:right w:val="none" w:sz="0" w:space="0" w:color="auto"/>
          </w:divBdr>
        </w:div>
        <w:div w:id="183829389">
          <w:marLeft w:val="1166"/>
          <w:marRight w:val="0"/>
          <w:marTop w:val="160"/>
          <w:marBottom w:val="0"/>
          <w:divBdr>
            <w:top w:val="none" w:sz="0" w:space="0" w:color="auto"/>
            <w:left w:val="none" w:sz="0" w:space="0" w:color="auto"/>
            <w:bottom w:val="none" w:sz="0" w:space="0" w:color="auto"/>
            <w:right w:val="none" w:sz="0" w:space="0" w:color="auto"/>
          </w:divBdr>
        </w:div>
      </w:divsChild>
    </w:div>
    <w:div w:id="1272781961">
      <w:bodyDiv w:val="1"/>
      <w:marLeft w:val="0"/>
      <w:marRight w:val="0"/>
      <w:marTop w:val="0"/>
      <w:marBottom w:val="0"/>
      <w:divBdr>
        <w:top w:val="none" w:sz="0" w:space="0" w:color="auto"/>
        <w:left w:val="none" w:sz="0" w:space="0" w:color="auto"/>
        <w:bottom w:val="none" w:sz="0" w:space="0" w:color="auto"/>
        <w:right w:val="none" w:sz="0" w:space="0" w:color="auto"/>
      </w:divBdr>
      <w:divsChild>
        <w:div w:id="1380546638">
          <w:marLeft w:val="547"/>
          <w:marRight w:val="0"/>
          <w:marTop w:val="160"/>
          <w:marBottom w:val="0"/>
          <w:divBdr>
            <w:top w:val="none" w:sz="0" w:space="0" w:color="auto"/>
            <w:left w:val="none" w:sz="0" w:space="0" w:color="auto"/>
            <w:bottom w:val="none" w:sz="0" w:space="0" w:color="auto"/>
            <w:right w:val="none" w:sz="0" w:space="0" w:color="auto"/>
          </w:divBdr>
        </w:div>
        <w:div w:id="1313293686">
          <w:marLeft w:val="547"/>
          <w:marRight w:val="0"/>
          <w:marTop w:val="160"/>
          <w:marBottom w:val="0"/>
          <w:divBdr>
            <w:top w:val="none" w:sz="0" w:space="0" w:color="auto"/>
            <w:left w:val="none" w:sz="0" w:space="0" w:color="auto"/>
            <w:bottom w:val="none" w:sz="0" w:space="0" w:color="auto"/>
            <w:right w:val="none" w:sz="0" w:space="0" w:color="auto"/>
          </w:divBdr>
        </w:div>
        <w:div w:id="1097336587">
          <w:marLeft w:val="547"/>
          <w:marRight w:val="0"/>
          <w:marTop w:val="160"/>
          <w:marBottom w:val="0"/>
          <w:divBdr>
            <w:top w:val="none" w:sz="0" w:space="0" w:color="auto"/>
            <w:left w:val="none" w:sz="0" w:space="0" w:color="auto"/>
            <w:bottom w:val="none" w:sz="0" w:space="0" w:color="auto"/>
            <w:right w:val="none" w:sz="0" w:space="0" w:color="auto"/>
          </w:divBdr>
        </w:div>
      </w:divsChild>
    </w:div>
    <w:div w:id="1458987640">
      <w:bodyDiv w:val="1"/>
      <w:marLeft w:val="0"/>
      <w:marRight w:val="0"/>
      <w:marTop w:val="0"/>
      <w:marBottom w:val="0"/>
      <w:divBdr>
        <w:top w:val="none" w:sz="0" w:space="0" w:color="auto"/>
        <w:left w:val="none" w:sz="0" w:space="0" w:color="auto"/>
        <w:bottom w:val="none" w:sz="0" w:space="0" w:color="auto"/>
        <w:right w:val="none" w:sz="0" w:space="0" w:color="auto"/>
      </w:divBdr>
    </w:div>
    <w:div w:id="1616325867">
      <w:bodyDiv w:val="1"/>
      <w:marLeft w:val="0"/>
      <w:marRight w:val="0"/>
      <w:marTop w:val="0"/>
      <w:marBottom w:val="0"/>
      <w:divBdr>
        <w:top w:val="none" w:sz="0" w:space="0" w:color="auto"/>
        <w:left w:val="none" w:sz="0" w:space="0" w:color="auto"/>
        <w:bottom w:val="none" w:sz="0" w:space="0" w:color="auto"/>
        <w:right w:val="none" w:sz="0" w:space="0" w:color="auto"/>
      </w:divBdr>
    </w:div>
    <w:div w:id="1677029613">
      <w:bodyDiv w:val="1"/>
      <w:marLeft w:val="0"/>
      <w:marRight w:val="0"/>
      <w:marTop w:val="0"/>
      <w:marBottom w:val="0"/>
      <w:divBdr>
        <w:top w:val="none" w:sz="0" w:space="0" w:color="auto"/>
        <w:left w:val="none" w:sz="0" w:space="0" w:color="auto"/>
        <w:bottom w:val="none" w:sz="0" w:space="0" w:color="auto"/>
        <w:right w:val="none" w:sz="0" w:space="0" w:color="auto"/>
      </w:divBdr>
    </w:div>
    <w:div w:id="1695422357">
      <w:bodyDiv w:val="1"/>
      <w:marLeft w:val="0"/>
      <w:marRight w:val="0"/>
      <w:marTop w:val="0"/>
      <w:marBottom w:val="0"/>
      <w:divBdr>
        <w:top w:val="none" w:sz="0" w:space="0" w:color="auto"/>
        <w:left w:val="none" w:sz="0" w:space="0" w:color="auto"/>
        <w:bottom w:val="none" w:sz="0" w:space="0" w:color="auto"/>
        <w:right w:val="none" w:sz="0" w:space="0" w:color="auto"/>
      </w:divBdr>
      <w:divsChild>
        <w:div w:id="2021001010">
          <w:marLeft w:val="547"/>
          <w:marRight w:val="0"/>
          <w:marTop w:val="160"/>
          <w:marBottom w:val="0"/>
          <w:divBdr>
            <w:top w:val="none" w:sz="0" w:space="0" w:color="auto"/>
            <w:left w:val="none" w:sz="0" w:space="0" w:color="auto"/>
            <w:bottom w:val="none" w:sz="0" w:space="0" w:color="auto"/>
            <w:right w:val="none" w:sz="0" w:space="0" w:color="auto"/>
          </w:divBdr>
        </w:div>
        <w:div w:id="802313637">
          <w:marLeft w:val="547"/>
          <w:marRight w:val="0"/>
          <w:marTop w:val="160"/>
          <w:marBottom w:val="0"/>
          <w:divBdr>
            <w:top w:val="none" w:sz="0" w:space="0" w:color="auto"/>
            <w:left w:val="none" w:sz="0" w:space="0" w:color="auto"/>
            <w:bottom w:val="none" w:sz="0" w:space="0" w:color="auto"/>
            <w:right w:val="none" w:sz="0" w:space="0" w:color="auto"/>
          </w:divBdr>
        </w:div>
        <w:div w:id="1254818572">
          <w:marLeft w:val="547"/>
          <w:marRight w:val="0"/>
          <w:marTop w:val="160"/>
          <w:marBottom w:val="0"/>
          <w:divBdr>
            <w:top w:val="none" w:sz="0" w:space="0" w:color="auto"/>
            <w:left w:val="none" w:sz="0" w:space="0" w:color="auto"/>
            <w:bottom w:val="none" w:sz="0" w:space="0" w:color="auto"/>
            <w:right w:val="none" w:sz="0" w:space="0" w:color="auto"/>
          </w:divBdr>
        </w:div>
      </w:divsChild>
    </w:div>
    <w:div w:id="1704405604">
      <w:bodyDiv w:val="1"/>
      <w:marLeft w:val="0"/>
      <w:marRight w:val="0"/>
      <w:marTop w:val="0"/>
      <w:marBottom w:val="0"/>
      <w:divBdr>
        <w:top w:val="none" w:sz="0" w:space="0" w:color="auto"/>
        <w:left w:val="none" w:sz="0" w:space="0" w:color="auto"/>
        <w:bottom w:val="none" w:sz="0" w:space="0" w:color="auto"/>
        <w:right w:val="none" w:sz="0" w:space="0" w:color="auto"/>
      </w:divBdr>
      <w:divsChild>
        <w:div w:id="1994604060">
          <w:marLeft w:val="0"/>
          <w:marRight w:val="0"/>
          <w:marTop w:val="0"/>
          <w:marBottom w:val="0"/>
          <w:divBdr>
            <w:top w:val="none" w:sz="0" w:space="0" w:color="auto"/>
            <w:left w:val="none" w:sz="0" w:space="0" w:color="auto"/>
            <w:bottom w:val="none" w:sz="0" w:space="0" w:color="auto"/>
            <w:right w:val="none" w:sz="0" w:space="0" w:color="auto"/>
          </w:divBdr>
        </w:div>
      </w:divsChild>
    </w:div>
    <w:div w:id="1874614547">
      <w:bodyDiv w:val="1"/>
      <w:marLeft w:val="0"/>
      <w:marRight w:val="0"/>
      <w:marTop w:val="0"/>
      <w:marBottom w:val="0"/>
      <w:divBdr>
        <w:top w:val="none" w:sz="0" w:space="0" w:color="auto"/>
        <w:left w:val="none" w:sz="0" w:space="0" w:color="auto"/>
        <w:bottom w:val="none" w:sz="0" w:space="0" w:color="auto"/>
        <w:right w:val="none" w:sz="0" w:space="0" w:color="auto"/>
      </w:divBdr>
    </w:div>
    <w:div w:id="2048022578">
      <w:bodyDiv w:val="1"/>
      <w:marLeft w:val="0"/>
      <w:marRight w:val="0"/>
      <w:marTop w:val="0"/>
      <w:marBottom w:val="0"/>
      <w:divBdr>
        <w:top w:val="none" w:sz="0" w:space="0" w:color="auto"/>
        <w:left w:val="none" w:sz="0" w:space="0" w:color="auto"/>
        <w:bottom w:val="none" w:sz="0" w:space="0" w:color="auto"/>
        <w:right w:val="none" w:sz="0" w:space="0" w:color="auto"/>
      </w:divBdr>
      <w:divsChild>
        <w:div w:id="823473448">
          <w:marLeft w:val="0"/>
          <w:marRight w:val="0"/>
          <w:marTop w:val="450"/>
          <w:marBottom w:val="300"/>
          <w:divBdr>
            <w:top w:val="none" w:sz="0" w:space="0" w:color="auto"/>
            <w:left w:val="none" w:sz="0" w:space="0" w:color="auto"/>
            <w:bottom w:val="none" w:sz="0" w:space="0" w:color="auto"/>
            <w:right w:val="none" w:sz="0" w:space="0" w:color="auto"/>
          </w:divBdr>
          <w:divsChild>
            <w:div w:id="1367637369">
              <w:marLeft w:val="0"/>
              <w:marRight w:val="0"/>
              <w:marTop w:val="300"/>
              <w:marBottom w:val="0"/>
              <w:divBdr>
                <w:top w:val="none" w:sz="0" w:space="0" w:color="auto"/>
                <w:left w:val="none" w:sz="0" w:space="0" w:color="auto"/>
                <w:bottom w:val="none" w:sz="0" w:space="0" w:color="auto"/>
                <w:right w:val="none" w:sz="0" w:space="0" w:color="auto"/>
              </w:divBdr>
              <w:divsChild>
                <w:div w:id="2030569126">
                  <w:marLeft w:val="0"/>
                  <w:marRight w:val="0"/>
                  <w:marTop w:val="0"/>
                  <w:marBottom w:val="0"/>
                  <w:divBdr>
                    <w:top w:val="none" w:sz="0" w:space="0" w:color="auto"/>
                    <w:left w:val="none" w:sz="0" w:space="0" w:color="auto"/>
                    <w:bottom w:val="none" w:sz="0" w:space="0" w:color="auto"/>
                    <w:right w:val="none" w:sz="0" w:space="0" w:color="auto"/>
                  </w:divBdr>
                </w:div>
                <w:div w:id="4769996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defaultValue">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A7887-27B7-48DE-8FC1-8F637306B9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9154AF-974F-4FE9-8F96-92FAF10059B9}">
  <ds:schemaRefs>
    <ds:schemaRef ds:uri="http://schemas.openxmlformats.org/officeDocument/2006/bibliography"/>
  </ds:schemaRefs>
</ds:datastoreItem>
</file>

<file path=customXml/itemProps3.xml><?xml version="1.0" encoding="utf-8"?>
<ds:datastoreItem xmlns:ds="http://schemas.openxmlformats.org/officeDocument/2006/customXml" ds:itemID="{C70D14A0-F7AA-48A3-82AA-80C3A5DC77F9}">
  <ds:schemaRefs>
    <ds:schemaRef ds:uri="http://schemas.microsoft.com/sharepoint/v3/contenttype/forms"/>
  </ds:schemaRefs>
</ds:datastoreItem>
</file>

<file path=customXml/itemProps4.xml><?xml version="1.0" encoding="utf-8"?>
<ds:datastoreItem xmlns:ds="http://schemas.openxmlformats.org/officeDocument/2006/customXml" ds:itemID="{DA5D1654-283B-4193-BEE6-58A5EE5B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87565A-56F4-47B5-8F04-4FC91DEAF393}">
  <ds:schemaRefs>
    <ds:schemaRef ds:uri="e4fa2a72-512d-4625-8080-7f9539ec5156"/>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24b6dc0-4d19-4667-bcf4-3c5af9116b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lisa.siebert</dc:creator>
  <cp:lastModifiedBy>Slawson, Jamie A.</cp:lastModifiedBy>
  <cp:revision>2</cp:revision>
  <cp:lastPrinted>2020-10-07T11:32:00Z</cp:lastPrinted>
  <dcterms:created xsi:type="dcterms:W3CDTF">2022-04-04T12:04:00Z</dcterms:created>
  <dcterms:modified xsi:type="dcterms:W3CDTF">2022-04-04T12:04:00Z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c0221f81-6910-4978-9353-9646624e73f8</vt:lpwstr>
  </property>
  <property fmtid="{D5CDD505-2E9C-101B-9397-08002B2CF9AE}" pid="3" name="bjSaver">
    <vt:lpwstr>LP/svClS/5KYt8+x5Git2ALaHEXEKIF3</vt:lpwstr>
  </property>
  <property fmtid="{D5CDD505-2E9C-101B-9397-08002B2CF9AE}" pid="4" name="_NewReviewCycle">
    <vt:lpwstr/>
  </property>
  <property fmtid="{D5CDD505-2E9C-101B-9397-08002B2CF9AE}" pid="5" name="_AdHocReviewCycleID">
    <vt:i4>-2006886050</vt:i4>
  </property>
  <property fmtid="{D5CDD505-2E9C-101B-9397-08002B2CF9AE}" pid="6" name="_EmailSubject">
    <vt:lpwstr>Your Feedback:  Equine Consumer Friendly - updated with feedback from ZINC</vt:lpwstr>
  </property>
  <property fmtid="{D5CDD505-2E9C-101B-9397-08002B2CF9AE}" pid="7" name="_AuthorEmail">
    <vt:lpwstr>jamie.slawson@merck.com</vt:lpwstr>
  </property>
  <property fmtid="{D5CDD505-2E9C-101B-9397-08002B2CF9AE}" pid="8" name="_AuthorEmailDisplayName">
    <vt:lpwstr>Slawson, Jamie A.</vt:lpwstr>
  </property>
  <property fmtid="{D5CDD505-2E9C-101B-9397-08002B2CF9AE}" pid="9" name="_PreviousAdHocReviewCycleID">
    <vt:i4>1948224906</vt:i4>
  </property>
  <property fmtid="{D5CDD505-2E9C-101B-9397-08002B2CF9AE}" pid="10" name="bjDocumentSecurityLabel">
    <vt:lpwstr>Not Classified</vt:lpwstr>
  </property>
  <property fmtid="{D5CDD505-2E9C-101B-9397-08002B2CF9AE}" pid="11" name="_ReviewingToolsShownOnce">
    <vt:lpwstr/>
  </property>
  <property fmtid="{D5CDD505-2E9C-101B-9397-08002B2CF9AE}" pid="12" name="bjDocumentLabelXML">
    <vt:lpwstr>&lt;?xml version="1.0" encoding="us-ascii"?&gt;&lt;sisl xmlns:xsi="http://www.w3.org/2001/XMLSchema-instance" xmlns:xsd="http://www.w3.org/2001/XMLSchema" sislVersion="0" policy="a10f9ac0-5937-4b4f-b459-96aedd9ed2c5" origin="defaultValue" xmlns="http://www.boldonj</vt:lpwstr>
  </property>
  <property fmtid="{D5CDD505-2E9C-101B-9397-08002B2CF9AE}" pid="13" name="bjDocumentLabelXML-0">
    <vt:lpwstr>ames.com/2008/01/sie/internal/label"&gt;&lt;element uid="9920fcc9-9f43-4d43-9e3e-b98a219cfd55" value="" /&gt;&lt;/sisl&gt;</vt:lpwstr>
  </property>
  <property fmtid="{D5CDD505-2E9C-101B-9397-08002B2CF9AE}" pid="14" name="ContentTypeId">
    <vt:lpwstr>0x010100F6DCFBC9795A38429A3B00FE6DBC33A8</vt:lpwstr>
  </property>
</Properties>
</file>